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DC61C3" w14:paraId="2A131A54" w14:textId="77777777" w:rsidTr="00AC1E5B">
        <w:trPr>
          <w:trHeight w:val="852"/>
          <w:jc w:val="center"/>
        </w:trPr>
        <w:tc>
          <w:tcPr>
            <w:tcW w:w="6940" w:type="dxa"/>
            <w:vMerge w:val="restart"/>
            <w:tcBorders>
              <w:right w:val="single" w:sz="4" w:space="0" w:color="auto"/>
            </w:tcBorders>
          </w:tcPr>
          <w:p w14:paraId="38C3D2BA" w14:textId="77777777" w:rsidR="000A03B2" w:rsidRPr="00DC61C3" w:rsidRDefault="000A03B2" w:rsidP="00DE264A">
            <w:pPr>
              <w:tabs>
                <w:tab w:val="left" w:pos="-108"/>
              </w:tabs>
              <w:ind w:left="-108"/>
              <w:jc w:val="left"/>
              <w:rPr>
                <w:rFonts w:cs="Arial"/>
                <w:b/>
                <w:bCs/>
                <w:i/>
                <w:iCs/>
                <w:color w:val="000066"/>
                <w:sz w:val="12"/>
                <w:szCs w:val="12"/>
                <w:lang w:eastAsia="it-IT"/>
              </w:rPr>
            </w:pPr>
            <w:r w:rsidRPr="00DC61C3">
              <w:rPr>
                <w:rFonts w:ascii="AdvP6960" w:hAnsi="AdvP6960" w:cs="AdvP6960"/>
                <w:noProof/>
                <w:color w:val="241F20"/>
                <w:szCs w:val="18"/>
                <w:lang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DC61C3">
              <w:rPr>
                <w:rFonts w:ascii="AdvP6960" w:hAnsi="AdvP6960" w:cs="AdvP6960"/>
                <w:color w:val="241F20"/>
                <w:szCs w:val="18"/>
                <w:lang w:eastAsia="it-IT"/>
              </w:rPr>
              <w:t xml:space="preserve"> </w:t>
            </w:r>
            <w:r w:rsidRPr="00DC61C3">
              <w:rPr>
                <w:rFonts w:cs="Arial"/>
                <w:b/>
                <w:bCs/>
                <w:i/>
                <w:iCs/>
                <w:color w:val="000066"/>
                <w:sz w:val="24"/>
                <w:szCs w:val="24"/>
                <w:lang w:eastAsia="it-IT"/>
              </w:rPr>
              <w:t>CHEMICAL ENGINEERING</w:t>
            </w:r>
            <w:r w:rsidRPr="00DC61C3">
              <w:rPr>
                <w:rFonts w:cs="Arial"/>
                <w:b/>
                <w:bCs/>
                <w:i/>
                <w:iCs/>
                <w:color w:val="0033FF"/>
                <w:sz w:val="24"/>
                <w:szCs w:val="24"/>
                <w:lang w:eastAsia="it-IT"/>
              </w:rPr>
              <w:t xml:space="preserve"> </w:t>
            </w:r>
            <w:r w:rsidRPr="00DC61C3">
              <w:rPr>
                <w:rFonts w:cs="Arial"/>
                <w:b/>
                <w:bCs/>
                <w:i/>
                <w:iCs/>
                <w:color w:val="666666"/>
                <w:sz w:val="24"/>
                <w:szCs w:val="24"/>
                <w:lang w:eastAsia="it-IT"/>
              </w:rPr>
              <w:t>TRANSACTIONS</w:t>
            </w:r>
            <w:r w:rsidRPr="00DC61C3">
              <w:rPr>
                <w:color w:val="333333"/>
                <w:sz w:val="24"/>
                <w:szCs w:val="24"/>
                <w:lang w:eastAsia="it-IT"/>
              </w:rPr>
              <w:t xml:space="preserve"> </w:t>
            </w:r>
            <w:r w:rsidRPr="00DC61C3">
              <w:rPr>
                <w:rFonts w:cs="Arial"/>
                <w:b/>
                <w:bCs/>
                <w:i/>
                <w:iCs/>
                <w:color w:val="000066"/>
                <w:sz w:val="27"/>
                <w:szCs w:val="27"/>
                <w:lang w:eastAsia="it-IT"/>
              </w:rPr>
              <w:br/>
            </w:r>
          </w:p>
          <w:p w14:paraId="4B780582" w14:textId="1087A532" w:rsidR="000A03B2" w:rsidRPr="00DC61C3" w:rsidRDefault="00A76EFC" w:rsidP="001D21AF">
            <w:pPr>
              <w:tabs>
                <w:tab w:val="left" w:pos="-108"/>
              </w:tabs>
              <w:ind w:left="-108"/>
              <w:rPr>
                <w:rFonts w:cs="Arial"/>
                <w:b/>
                <w:bCs/>
                <w:i/>
                <w:iCs/>
                <w:color w:val="000066"/>
                <w:sz w:val="22"/>
                <w:szCs w:val="22"/>
                <w:lang w:eastAsia="it-IT"/>
              </w:rPr>
            </w:pPr>
            <w:r w:rsidRPr="00DC61C3">
              <w:rPr>
                <w:rFonts w:cs="Arial"/>
                <w:b/>
                <w:bCs/>
                <w:i/>
                <w:iCs/>
                <w:color w:val="000066"/>
                <w:sz w:val="22"/>
                <w:szCs w:val="22"/>
                <w:lang w:eastAsia="it-IT"/>
              </w:rPr>
              <w:t xml:space="preserve">VOL. </w:t>
            </w:r>
            <w:r w:rsidR="0030152C" w:rsidRPr="00DC61C3">
              <w:rPr>
                <w:rFonts w:cs="Arial"/>
                <w:b/>
                <w:bCs/>
                <w:i/>
                <w:iCs/>
                <w:color w:val="000066"/>
                <w:sz w:val="22"/>
                <w:szCs w:val="22"/>
                <w:lang w:eastAsia="it-IT"/>
              </w:rPr>
              <w:t xml:space="preserve"> </w:t>
            </w:r>
            <w:proofErr w:type="gramStart"/>
            <w:r w:rsidR="0030152C" w:rsidRPr="00DC61C3">
              <w:rPr>
                <w:rFonts w:cs="Arial"/>
                <w:b/>
                <w:bCs/>
                <w:i/>
                <w:iCs/>
                <w:color w:val="000066"/>
                <w:sz w:val="22"/>
                <w:szCs w:val="22"/>
                <w:lang w:eastAsia="it-IT"/>
              </w:rPr>
              <w:t xml:space="preserve">  </w:t>
            </w:r>
            <w:r w:rsidR="007B48F9" w:rsidRPr="00DC61C3">
              <w:rPr>
                <w:rFonts w:cs="Arial"/>
                <w:b/>
                <w:bCs/>
                <w:i/>
                <w:iCs/>
                <w:color w:val="000066"/>
                <w:sz w:val="22"/>
                <w:szCs w:val="22"/>
                <w:lang w:eastAsia="it-IT"/>
              </w:rPr>
              <w:t>,</w:t>
            </w:r>
            <w:proofErr w:type="gramEnd"/>
            <w:r w:rsidR="00FA5F5F" w:rsidRPr="00DC61C3">
              <w:rPr>
                <w:rFonts w:cs="Arial"/>
                <w:b/>
                <w:bCs/>
                <w:i/>
                <w:iCs/>
                <w:color w:val="000066"/>
                <w:sz w:val="22"/>
                <w:szCs w:val="22"/>
                <w:lang w:eastAsia="it-IT"/>
              </w:rPr>
              <w:t xml:space="preserve"> </w:t>
            </w:r>
            <w:r w:rsidR="0030152C" w:rsidRPr="00DC61C3">
              <w:rPr>
                <w:rFonts w:cs="Arial"/>
                <w:b/>
                <w:bCs/>
                <w:i/>
                <w:iCs/>
                <w:color w:val="000066"/>
                <w:sz w:val="22"/>
                <w:szCs w:val="22"/>
                <w:lang w:eastAsia="it-IT"/>
              </w:rPr>
              <w:t>202</w:t>
            </w:r>
            <w:r w:rsidR="0035009F" w:rsidRPr="00DC61C3">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DC61C3" w:rsidRDefault="000A03B2" w:rsidP="00CD5FE2">
            <w:pPr>
              <w:spacing w:line="140" w:lineRule="atLeast"/>
              <w:jc w:val="right"/>
              <w:rPr>
                <w:rFonts w:cs="Arial"/>
                <w:sz w:val="14"/>
                <w:szCs w:val="14"/>
              </w:rPr>
            </w:pPr>
            <w:r w:rsidRPr="00DC61C3">
              <w:rPr>
                <w:rFonts w:cs="Arial"/>
                <w:sz w:val="14"/>
                <w:szCs w:val="14"/>
              </w:rPr>
              <w:t>A publication of</w:t>
            </w:r>
          </w:p>
          <w:p w14:paraId="599E5441" w14:textId="77777777" w:rsidR="000A03B2" w:rsidRPr="00DC61C3" w:rsidRDefault="000A03B2" w:rsidP="00CD5FE2">
            <w:pPr>
              <w:jc w:val="right"/>
            </w:pPr>
            <w:r w:rsidRPr="00DC61C3">
              <w:rPr>
                <w:noProof/>
                <w:lang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DC61C3" w14:paraId="380FA3CD" w14:textId="77777777" w:rsidTr="00AC1E5B">
        <w:trPr>
          <w:trHeight w:val="567"/>
          <w:jc w:val="center"/>
        </w:trPr>
        <w:tc>
          <w:tcPr>
            <w:tcW w:w="6940" w:type="dxa"/>
            <w:vMerge/>
            <w:tcBorders>
              <w:right w:val="single" w:sz="4" w:space="0" w:color="auto"/>
            </w:tcBorders>
          </w:tcPr>
          <w:p w14:paraId="39E5E4C1" w14:textId="77777777" w:rsidR="000A03B2" w:rsidRPr="00DC61C3"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DC61C3" w:rsidRDefault="000A03B2" w:rsidP="00CD5FE2">
            <w:pPr>
              <w:spacing w:line="140" w:lineRule="atLeast"/>
              <w:jc w:val="right"/>
              <w:rPr>
                <w:rFonts w:cs="Arial"/>
                <w:sz w:val="14"/>
                <w:szCs w:val="14"/>
              </w:rPr>
            </w:pPr>
            <w:r w:rsidRPr="00DC61C3">
              <w:rPr>
                <w:rFonts w:cs="Arial"/>
                <w:sz w:val="14"/>
                <w:szCs w:val="14"/>
              </w:rPr>
              <w:t>The Italian Association</w:t>
            </w:r>
          </w:p>
          <w:p w14:paraId="7522B1D2" w14:textId="77777777" w:rsidR="000A03B2" w:rsidRPr="00DC61C3" w:rsidRDefault="000A03B2" w:rsidP="00CD5FE2">
            <w:pPr>
              <w:spacing w:line="140" w:lineRule="atLeast"/>
              <w:jc w:val="right"/>
              <w:rPr>
                <w:rFonts w:cs="Arial"/>
                <w:sz w:val="14"/>
                <w:szCs w:val="14"/>
              </w:rPr>
            </w:pPr>
            <w:r w:rsidRPr="00DC61C3">
              <w:rPr>
                <w:rFonts w:cs="Arial"/>
                <w:sz w:val="14"/>
                <w:szCs w:val="14"/>
              </w:rPr>
              <w:t>of Chemical Engineering</w:t>
            </w:r>
          </w:p>
          <w:p w14:paraId="4F0CC5DE" w14:textId="47FDB2FC" w:rsidR="000A03B2" w:rsidRPr="00DC61C3" w:rsidRDefault="000D0268" w:rsidP="00CD5FE2">
            <w:pPr>
              <w:spacing w:line="140" w:lineRule="atLeast"/>
              <w:jc w:val="right"/>
              <w:rPr>
                <w:rFonts w:cs="Arial"/>
                <w:sz w:val="13"/>
                <w:szCs w:val="13"/>
              </w:rPr>
            </w:pPr>
            <w:r w:rsidRPr="00DC61C3">
              <w:rPr>
                <w:rFonts w:cs="Arial"/>
                <w:sz w:val="13"/>
                <w:szCs w:val="13"/>
              </w:rPr>
              <w:t>Online at www.cetjournal.it</w:t>
            </w:r>
          </w:p>
        </w:tc>
      </w:tr>
      <w:tr w:rsidR="000A03B2" w:rsidRPr="00DC61C3" w14:paraId="2D1B7169" w14:textId="77777777" w:rsidTr="00AC1E5B">
        <w:trPr>
          <w:trHeight w:val="68"/>
          <w:jc w:val="center"/>
        </w:trPr>
        <w:tc>
          <w:tcPr>
            <w:tcW w:w="8782" w:type="dxa"/>
            <w:gridSpan w:val="2"/>
          </w:tcPr>
          <w:p w14:paraId="1D8DD3C9" w14:textId="086598E2" w:rsidR="00AA7D26" w:rsidRPr="00DC61C3" w:rsidRDefault="00AA7D26" w:rsidP="00AA7D26">
            <w:pPr>
              <w:ind w:left="-107"/>
              <w:outlineLvl w:val="2"/>
              <w:rPr>
                <w:rFonts w:ascii="Tahoma" w:hAnsi="Tahoma" w:cs="Tahoma"/>
                <w:bCs/>
                <w:color w:val="000000"/>
                <w:sz w:val="14"/>
                <w:szCs w:val="14"/>
                <w:lang w:eastAsia="it-IT"/>
              </w:rPr>
            </w:pPr>
            <w:r w:rsidRPr="00DC61C3">
              <w:rPr>
                <w:rFonts w:ascii="Tahoma" w:hAnsi="Tahoma" w:cs="Tahoma"/>
                <w:iCs/>
                <w:color w:val="333333"/>
                <w:sz w:val="14"/>
                <w:szCs w:val="14"/>
                <w:lang w:eastAsia="it-IT"/>
              </w:rPr>
              <w:t>Guest Editors:</w:t>
            </w:r>
            <w:r w:rsidRPr="00DC61C3">
              <w:rPr>
                <w:rFonts w:ascii="Tahoma" w:hAnsi="Tahoma" w:cs="Tahoma"/>
                <w:color w:val="000000"/>
                <w:sz w:val="14"/>
                <w:szCs w:val="14"/>
                <w:shd w:val="clear" w:color="auto" w:fill="FFFFFF"/>
              </w:rPr>
              <w:t xml:space="preserve"> </w:t>
            </w:r>
          </w:p>
          <w:p w14:paraId="1B0F1814" w14:textId="57AA03EA" w:rsidR="000A03B2" w:rsidRPr="00DC61C3" w:rsidRDefault="00AA7D26" w:rsidP="00AA7D26">
            <w:pPr>
              <w:tabs>
                <w:tab w:val="left" w:pos="-108"/>
              </w:tabs>
              <w:spacing w:line="140" w:lineRule="atLeast"/>
              <w:ind w:left="-107"/>
              <w:jc w:val="left"/>
            </w:pPr>
            <w:r w:rsidRPr="00DC61C3">
              <w:rPr>
                <w:rFonts w:ascii="Tahoma" w:hAnsi="Tahoma" w:cs="Tahoma"/>
                <w:iCs/>
                <w:color w:val="333333"/>
                <w:sz w:val="14"/>
                <w:szCs w:val="14"/>
                <w:lang w:eastAsia="it-IT"/>
              </w:rPr>
              <w:t>Copyright © 202</w:t>
            </w:r>
            <w:r w:rsidR="00C24AF1" w:rsidRPr="00DC61C3">
              <w:rPr>
                <w:rFonts w:ascii="Tahoma" w:hAnsi="Tahoma" w:cs="Tahoma"/>
                <w:iCs/>
                <w:color w:val="333333"/>
                <w:sz w:val="14"/>
                <w:szCs w:val="14"/>
                <w:lang w:eastAsia="it-IT"/>
              </w:rPr>
              <w:t>5</w:t>
            </w:r>
            <w:r w:rsidRPr="00DC61C3">
              <w:rPr>
                <w:rFonts w:ascii="Tahoma" w:hAnsi="Tahoma" w:cs="Tahoma"/>
                <w:iCs/>
                <w:color w:val="333333"/>
                <w:sz w:val="14"/>
                <w:szCs w:val="14"/>
                <w:lang w:eastAsia="it-IT"/>
              </w:rPr>
              <w:t xml:space="preserve">, AIDIC </w:t>
            </w:r>
            <w:proofErr w:type="spellStart"/>
            <w:r w:rsidRPr="00DC61C3">
              <w:rPr>
                <w:rFonts w:ascii="Tahoma" w:hAnsi="Tahoma" w:cs="Tahoma"/>
                <w:iCs/>
                <w:color w:val="333333"/>
                <w:sz w:val="14"/>
                <w:szCs w:val="14"/>
                <w:lang w:eastAsia="it-IT"/>
              </w:rPr>
              <w:t>Servizi</w:t>
            </w:r>
            <w:proofErr w:type="spellEnd"/>
            <w:r w:rsidRPr="00DC61C3">
              <w:rPr>
                <w:rFonts w:ascii="Tahoma" w:hAnsi="Tahoma" w:cs="Tahoma"/>
                <w:iCs/>
                <w:color w:val="333333"/>
                <w:sz w:val="14"/>
                <w:szCs w:val="14"/>
                <w:lang w:eastAsia="it-IT"/>
              </w:rPr>
              <w:t xml:space="preserve"> </w:t>
            </w:r>
            <w:proofErr w:type="spellStart"/>
            <w:r w:rsidRPr="00DC61C3">
              <w:rPr>
                <w:rFonts w:ascii="Tahoma" w:hAnsi="Tahoma" w:cs="Tahoma"/>
                <w:iCs/>
                <w:color w:val="333333"/>
                <w:sz w:val="14"/>
                <w:szCs w:val="14"/>
                <w:lang w:eastAsia="it-IT"/>
              </w:rPr>
              <w:t>S.r.l</w:t>
            </w:r>
            <w:proofErr w:type="spellEnd"/>
            <w:r w:rsidRPr="00DC61C3">
              <w:rPr>
                <w:rFonts w:ascii="Tahoma" w:hAnsi="Tahoma" w:cs="Tahoma"/>
                <w:iCs/>
                <w:color w:val="333333"/>
                <w:sz w:val="14"/>
                <w:szCs w:val="14"/>
                <w:lang w:eastAsia="it-IT"/>
              </w:rPr>
              <w:t>.</w:t>
            </w:r>
            <w:r w:rsidRPr="00DC61C3">
              <w:rPr>
                <w:rFonts w:ascii="Tahoma" w:hAnsi="Tahoma" w:cs="Tahoma"/>
                <w:iCs/>
                <w:color w:val="333333"/>
                <w:sz w:val="14"/>
                <w:szCs w:val="14"/>
                <w:lang w:eastAsia="it-IT"/>
              </w:rPr>
              <w:br/>
            </w:r>
            <w:r w:rsidRPr="00DC61C3">
              <w:rPr>
                <w:rFonts w:ascii="Tahoma" w:hAnsi="Tahoma" w:cs="Tahoma"/>
                <w:b/>
                <w:iCs/>
                <w:color w:val="000000"/>
                <w:sz w:val="14"/>
                <w:szCs w:val="14"/>
                <w:lang w:eastAsia="it-IT"/>
              </w:rPr>
              <w:t>ISBN</w:t>
            </w:r>
            <w:r w:rsidRPr="00DC61C3">
              <w:rPr>
                <w:rFonts w:ascii="Tahoma" w:hAnsi="Tahoma" w:cs="Tahoma"/>
                <w:iCs/>
                <w:color w:val="000000"/>
                <w:sz w:val="14"/>
                <w:szCs w:val="14"/>
                <w:lang w:eastAsia="it-IT"/>
              </w:rPr>
              <w:t xml:space="preserve"> </w:t>
            </w:r>
            <w:r w:rsidR="00D2582C" w:rsidRPr="00DC61C3">
              <w:rPr>
                <w:rFonts w:ascii="Tahoma" w:hAnsi="Tahoma" w:cs="Tahoma"/>
                <w:sz w:val="14"/>
                <w:szCs w:val="14"/>
              </w:rPr>
              <w:t>979-12-81206-</w:t>
            </w:r>
            <w:r w:rsidR="00557E00" w:rsidRPr="00DC61C3">
              <w:rPr>
                <w:rFonts w:ascii="Tahoma" w:hAnsi="Tahoma" w:cs="Tahoma"/>
                <w:sz w:val="14"/>
                <w:szCs w:val="14"/>
              </w:rPr>
              <w:t>XX</w:t>
            </w:r>
            <w:r w:rsidR="00D2582C" w:rsidRPr="00DC61C3">
              <w:rPr>
                <w:rFonts w:ascii="Tahoma" w:hAnsi="Tahoma" w:cs="Tahoma"/>
                <w:sz w:val="14"/>
                <w:szCs w:val="14"/>
              </w:rPr>
              <w:t>-</w:t>
            </w:r>
            <w:r w:rsidR="00557E00" w:rsidRPr="00DC61C3">
              <w:rPr>
                <w:rFonts w:ascii="Tahoma" w:hAnsi="Tahoma" w:cs="Tahoma"/>
                <w:sz w:val="14"/>
                <w:szCs w:val="14"/>
              </w:rPr>
              <w:t>X</w:t>
            </w:r>
            <w:r w:rsidRPr="00DC61C3">
              <w:rPr>
                <w:rFonts w:ascii="Tahoma" w:hAnsi="Tahoma" w:cs="Tahoma"/>
                <w:iCs/>
                <w:color w:val="333333"/>
                <w:sz w:val="14"/>
                <w:szCs w:val="14"/>
                <w:lang w:eastAsia="it-IT"/>
              </w:rPr>
              <w:t xml:space="preserve">; </w:t>
            </w:r>
            <w:r w:rsidRPr="00DC61C3">
              <w:rPr>
                <w:rFonts w:ascii="Tahoma" w:hAnsi="Tahoma" w:cs="Tahoma"/>
                <w:b/>
                <w:iCs/>
                <w:color w:val="333333"/>
                <w:sz w:val="14"/>
                <w:szCs w:val="14"/>
                <w:lang w:eastAsia="it-IT"/>
              </w:rPr>
              <w:t>ISSN</w:t>
            </w:r>
            <w:r w:rsidRPr="00DC61C3">
              <w:rPr>
                <w:rFonts w:ascii="Tahoma" w:hAnsi="Tahoma" w:cs="Tahoma"/>
                <w:iCs/>
                <w:color w:val="333333"/>
                <w:sz w:val="14"/>
                <w:szCs w:val="14"/>
                <w:lang w:eastAsia="it-IT"/>
              </w:rPr>
              <w:t xml:space="preserve"> 2283-9216</w:t>
            </w:r>
          </w:p>
        </w:tc>
      </w:tr>
    </w:tbl>
    <w:p w14:paraId="2E667253" w14:textId="566D0098" w:rsidR="00E978D0" w:rsidRPr="00DC61C3" w:rsidRDefault="00AC1E5B" w:rsidP="00E978D0">
      <w:pPr>
        <w:pStyle w:val="CETTitle"/>
      </w:pPr>
      <w:r w:rsidRPr="00DC61C3">
        <w:t>Evaluation of the impact of hexagonal shaped HDPE elements coverage on emissions from a municipal solid waste landfill leachate reservoir</w:t>
      </w:r>
    </w:p>
    <w:p w14:paraId="0488FED2" w14:textId="7966D840" w:rsidR="00B57E6F" w:rsidRPr="0070100E" w:rsidRDefault="00AC1E5B" w:rsidP="00B57E6F">
      <w:pPr>
        <w:pStyle w:val="CETAuthors"/>
        <w:rPr>
          <w:lang w:val="es-ES"/>
        </w:rPr>
      </w:pPr>
      <w:r w:rsidRPr="0070100E">
        <w:rPr>
          <w:lang w:val="es-ES"/>
        </w:rPr>
        <w:t>E. Gallego</w:t>
      </w:r>
      <w:r w:rsidRPr="0070100E">
        <w:rPr>
          <w:vertAlign w:val="superscript"/>
          <w:lang w:val="es-ES"/>
        </w:rPr>
        <w:t>a</w:t>
      </w:r>
      <w:r w:rsidR="00FF2165" w:rsidRPr="0070100E">
        <w:rPr>
          <w:lang w:val="es-ES"/>
        </w:rPr>
        <w:t>*</w:t>
      </w:r>
      <w:r w:rsidRPr="0070100E">
        <w:rPr>
          <w:lang w:val="es-ES"/>
        </w:rPr>
        <w:t>, J.F. Perales</w:t>
      </w:r>
      <w:r w:rsidRPr="0070100E">
        <w:rPr>
          <w:vertAlign w:val="superscript"/>
          <w:lang w:val="es-ES"/>
        </w:rPr>
        <w:t>a</w:t>
      </w:r>
      <w:r w:rsidRPr="0070100E">
        <w:rPr>
          <w:lang w:val="es-ES"/>
        </w:rPr>
        <w:t>, N. Aguasca</w:t>
      </w:r>
      <w:r w:rsidRPr="0070100E">
        <w:rPr>
          <w:vertAlign w:val="superscript"/>
          <w:lang w:val="es-ES"/>
        </w:rPr>
        <w:t>b</w:t>
      </w:r>
    </w:p>
    <w:p w14:paraId="6274A996" w14:textId="77777777" w:rsidR="00AC1E5B" w:rsidRPr="0070100E" w:rsidRDefault="00B57E6F" w:rsidP="00B57E6F">
      <w:pPr>
        <w:pStyle w:val="CETAddress"/>
        <w:rPr>
          <w:lang w:val="es-ES"/>
        </w:rPr>
      </w:pPr>
      <w:r w:rsidRPr="0070100E">
        <w:rPr>
          <w:vertAlign w:val="superscript"/>
          <w:lang w:val="es-ES"/>
        </w:rPr>
        <w:t>a</w:t>
      </w:r>
      <w:r w:rsidR="00AC1E5B" w:rsidRPr="0070100E">
        <w:rPr>
          <w:lang w:val="es-ES"/>
        </w:rPr>
        <w:t xml:space="preserve"> Laboratori del Centre de Medi Ambient, Escola d’Enginyeria de Barcelona Est (EEBE), Universitat Politècnica de Catalunya · Barcelona Tech (UPC), Av. Eduard Maristany 16, 08019 Barcelona, Spain.</w:t>
      </w:r>
    </w:p>
    <w:p w14:paraId="7578F46B" w14:textId="77777777" w:rsidR="00FF2165" w:rsidRPr="0070100E" w:rsidRDefault="00B57E6F" w:rsidP="00FF2165">
      <w:pPr>
        <w:pStyle w:val="CETAddress"/>
        <w:rPr>
          <w:lang w:val="es-ES"/>
        </w:rPr>
      </w:pPr>
      <w:r w:rsidRPr="0070100E">
        <w:rPr>
          <w:vertAlign w:val="superscript"/>
          <w:lang w:val="es-ES"/>
        </w:rPr>
        <w:t>b</w:t>
      </w:r>
      <w:r w:rsidR="00FF2165" w:rsidRPr="0070100E">
        <w:rPr>
          <w:lang w:val="es-ES"/>
        </w:rPr>
        <w:t xml:space="preserve"> Prezero Gestión de Residuos, Dipòsit Controlat de Can Mata, carretera B-231, 080781 Els Hostalets de Pierola, Spain.</w:t>
      </w:r>
    </w:p>
    <w:p w14:paraId="5430B023" w14:textId="77777777" w:rsidR="00FF2165" w:rsidRPr="0070100E" w:rsidRDefault="00FF2165" w:rsidP="00FF2165">
      <w:pPr>
        <w:pStyle w:val="CETAddress"/>
        <w:rPr>
          <w:lang w:val="es-ES"/>
        </w:rPr>
      </w:pPr>
    </w:p>
    <w:p w14:paraId="325C1225" w14:textId="52469CB5" w:rsidR="00681460" w:rsidRPr="00DC61C3" w:rsidRDefault="00445D4B" w:rsidP="00FF2165">
      <w:pPr>
        <w:pStyle w:val="CETAddress"/>
      </w:pPr>
      <w:hyperlink r:id="rId10" w:history="1">
        <w:r w:rsidR="00FF2165" w:rsidRPr="00DC61C3">
          <w:rPr>
            <w:rStyle w:val="Enlla"/>
          </w:rPr>
          <w:t>eva.gallego@upc.edu</w:t>
        </w:r>
      </w:hyperlink>
    </w:p>
    <w:p w14:paraId="639C1AB5" w14:textId="1469EC11" w:rsidR="00FF2165" w:rsidRPr="00DC61C3" w:rsidRDefault="00FF2165" w:rsidP="00FF2165">
      <w:pPr>
        <w:pStyle w:val="CETAddress"/>
      </w:pPr>
    </w:p>
    <w:p w14:paraId="1C2DAA3F" w14:textId="715133A1" w:rsidR="00A929A2" w:rsidRPr="00DC61C3" w:rsidRDefault="00A929A2" w:rsidP="00676344">
      <w:pPr>
        <w:pStyle w:val="CETAddress"/>
        <w:jc w:val="both"/>
      </w:pPr>
      <w:r w:rsidRPr="00DC61C3">
        <w:t>The effectiveness of odour emission reduction in a municipal solid waste</w:t>
      </w:r>
      <w:r w:rsidR="00676344" w:rsidRPr="00DC61C3">
        <w:t xml:space="preserve"> landfill</w:t>
      </w:r>
      <w:r w:rsidRPr="00DC61C3">
        <w:t xml:space="preserve"> leachate reservoir was evaluated using hexagonal-shaped HDPE cover elements. A previous study conducted in 202</w:t>
      </w:r>
      <w:r w:rsidR="002E0C68" w:rsidRPr="00DC61C3">
        <w:t>0</w:t>
      </w:r>
      <w:r w:rsidRPr="00DC61C3">
        <w:t xml:space="preserve"> identified H</w:t>
      </w:r>
      <w:r w:rsidRPr="00DC61C3">
        <w:rPr>
          <w:rFonts w:ascii="Cambria Math" w:hAnsi="Cambria Math" w:cs="Cambria Math"/>
        </w:rPr>
        <w:t>₂</w:t>
      </w:r>
      <w:r w:rsidRPr="00DC61C3">
        <w:t>S as the dominant contributor to odour emissions from the leachate reservoir, accounting for 99% of total odour units (O.U.). To mitigate these emissions, HDPE hexagonal covers were installed over the leachate basin in 2024. The performance of this system was assessed by analysing changes in H</w:t>
      </w:r>
      <w:r w:rsidRPr="00DC61C3">
        <w:rPr>
          <w:rFonts w:ascii="Cambria Math" w:hAnsi="Cambria Math" w:cs="Cambria Math"/>
        </w:rPr>
        <w:t>₂</w:t>
      </w:r>
      <w:r w:rsidRPr="00DC61C3">
        <w:t>S concentrations. New measurements carried out in 2025, using Radiello diffusive samplers as in the previous campaign, showed that H</w:t>
      </w:r>
      <w:r w:rsidRPr="00DC61C3">
        <w:rPr>
          <w:rFonts w:ascii="Cambria Math" w:hAnsi="Cambria Math" w:cs="Cambria Math"/>
        </w:rPr>
        <w:t>₂</w:t>
      </w:r>
      <w:r w:rsidRPr="00DC61C3">
        <w:t>S concentrations decreased from 0.8</w:t>
      </w:r>
      <w:r w:rsidRPr="00DC61C3">
        <w:rPr>
          <w:rFonts w:cs="Arial"/>
        </w:rPr>
        <w:t>–</w:t>
      </w:r>
      <w:r w:rsidRPr="00DC61C3">
        <w:t>1.1 mg m</w:t>
      </w:r>
      <w:r w:rsidRPr="00DC61C3">
        <w:rPr>
          <w:rFonts w:ascii="Cambria Math" w:hAnsi="Cambria Math" w:cs="Cambria Math"/>
        </w:rPr>
        <w:t>⁻</w:t>
      </w:r>
      <w:r w:rsidRPr="00DC61C3">
        <w:rPr>
          <w:rFonts w:cs="Arial"/>
        </w:rPr>
        <w:t>³</w:t>
      </w:r>
      <w:r w:rsidRPr="00DC61C3">
        <w:t xml:space="preserve"> in 202</w:t>
      </w:r>
      <w:r w:rsidR="00123DB3">
        <w:t>0</w:t>
      </w:r>
      <w:r w:rsidRPr="00DC61C3">
        <w:t xml:space="preserve"> to 0.09</w:t>
      </w:r>
      <w:r w:rsidRPr="00DC61C3">
        <w:rPr>
          <w:rFonts w:cs="Arial"/>
        </w:rPr>
        <w:t>–</w:t>
      </w:r>
      <w:r w:rsidRPr="00DC61C3">
        <w:t>0.14 mg m</w:t>
      </w:r>
      <w:r w:rsidRPr="00DC61C3">
        <w:rPr>
          <w:rFonts w:ascii="Cambria Math" w:hAnsi="Cambria Math" w:cs="Cambria Math"/>
        </w:rPr>
        <w:t>⁻</w:t>
      </w:r>
      <w:r w:rsidRPr="00DC61C3">
        <w:rPr>
          <w:rFonts w:cs="Arial"/>
        </w:rPr>
        <w:t>³</w:t>
      </w:r>
      <w:r w:rsidRPr="00DC61C3">
        <w:t xml:space="preserve"> </w:t>
      </w:r>
      <w:r w:rsidR="00AD1289">
        <w:t xml:space="preserve">in 2025, </w:t>
      </w:r>
      <w:r w:rsidRPr="00DC61C3">
        <w:t>after installation. By applying odour thresholds to the measured concentrations, odour units were determined, revealing a reduction from 1129–1609 O.U. to 128–198 O.U. This corresponds to an average decrease of 87.8% in measured concentrations and associated odour impact. Numerical modelling using the TAPM dispersion model was applied to estimate emission factors, incorporating meteorological conditions to ensure a consistent comparison between 202</w:t>
      </w:r>
      <w:r w:rsidR="000078C9">
        <w:t>0</w:t>
      </w:r>
      <w:r w:rsidRPr="00DC61C3">
        <w:t xml:space="preserve"> and 2025 data. The modelling results confirmed a substantial emission reduction, estimated at 86.2%. Overall, the use of hexagonal-shaped HDPE elements to cover leachate basins </w:t>
      </w:r>
      <w:r w:rsidR="00676344" w:rsidRPr="00DC61C3">
        <w:t>in municipal solid waste landfills</w:t>
      </w:r>
      <w:r w:rsidRPr="00DC61C3">
        <w:t>has proven to be a highly effective solution for reducing odorous emissions.</w:t>
      </w:r>
    </w:p>
    <w:p w14:paraId="476B2F2E" w14:textId="77777777" w:rsidR="00600535" w:rsidRPr="00DC61C3" w:rsidRDefault="00600535" w:rsidP="00600535">
      <w:pPr>
        <w:pStyle w:val="CETHeading1"/>
        <w:rPr>
          <w:lang w:val="en-GB"/>
        </w:rPr>
      </w:pPr>
      <w:r w:rsidRPr="00DC61C3">
        <w:rPr>
          <w:lang w:val="en-GB"/>
        </w:rPr>
        <w:t>Introduction</w:t>
      </w:r>
    </w:p>
    <w:p w14:paraId="706AF9DC" w14:textId="4C4D6987" w:rsidR="00CE37B4" w:rsidRPr="00DC61C3" w:rsidRDefault="00CA53A5" w:rsidP="00FF2165">
      <w:pPr>
        <w:pStyle w:val="CETBodytext"/>
        <w:rPr>
          <w:lang w:val="en-GB"/>
        </w:rPr>
      </w:pPr>
      <w:r w:rsidRPr="00DC61C3">
        <w:rPr>
          <w:lang w:val="en-GB"/>
        </w:rPr>
        <w:t>Municipal solid waste landfills can generate odorous impacts in surrounding areas</w:t>
      </w:r>
      <w:r w:rsidR="00E21688" w:rsidRPr="00DC61C3">
        <w:rPr>
          <w:lang w:val="en-GB"/>
        </w:rPr>
        <w:t xml:space="preserve"> (</w:t>
      </w:r>
      <w:r w:rsidR="0070100E" w:rsidRPr="00DC61C3">
        <w:rPr>
          <w:lang w:val="en-GB"/>
        </w:rPr>
        <w:t xml:space="preserve">Oliva et al., 2024, </w:t>
      </w:r>
      <w:r w:rsidR="00076C0A">
        <w:rPr>
          <w:lang w:val="en-GB"/>
        </w:rPr>
        <w:t xml:space="preserve">Izadi et al., 2026, </w:t>
      </w:r>
      <w:proofErr w:type="spellStart"/>
      <w:r w:rsidR="00E21688" w:rsidRPr="00DC61C3">
        <w:rPr>
          <w:lang w:val="en-GB"/>
        </w:rPr>
        <w:t>Lakhouit</w:t>
      </w:r>
      <w:proofErr w:type="spellEnd"/>
      <w:r w:rsidR="00E21688" w:rsidRPr="00DC61C3">
        <w:rPr>
          <w:lang w:val="en-GB"/>
        </w:rPr>
        <w:t>, 2026)</w:t>
      </w:r>
      <w:r w:rsidRPr="00DC61C3">
        <w:rPr>
          <w:lang w:val="en-GB"/>
        </w:rPr>
        <w:t xml:space="preserve">, with gas emissions varying considerably due to factors such as site operations, environmental and meteorological conditions, waste composition, and seasonal changes </w:t>
      </w:r>
      <w:r w:rsidR="00307A8A" w:rsidRPr="00DC61C3">
        <w:rPr>
          <w:lang w:val="en-GB"/>
        </w:rPr>
        <w:t>(</w:t>
      </w:r>
      <w:proofErr w:type="spellStart"/>
      <w:r w:rsidR="008F7B7F" w:rsidRPr="00DC61C3">
        <w:rPr>
          <w:lang w:val="en-GB"/>
        </w:rPr>
        <w:t>Muezzinoglu</w:t>
      </w:r>
      <w:proofErr w:type="spellEnd"/>
      <w:r w:rsidR="008F7B7F" w:rsidRPr="00DC61C3">
        <w:rPr>
          <w:lang w:val="en-GB"/>
        </w:rPr>
        <w:t>, 2025</w:t>
      </w:r>
      <w:r w:rsidR="00307A8A" w:rsidRPr="00DC61C3">
        <w:rPr>
          <w:lang w:val="en-GB"/>
        </w:rPr>
        <w:t xml:space="preserve">). </w:t>
      </w:r>
      <w:r w:rsidR="00940629" w:rsidRPr="00DC61C3">
        <w:rPr>
          <w:lang w:val="en-GB"/>
        </w:rPr>
        <w:t>Several cover systems are available for odour emission mitigation in landfills</w:t>
      </w:r>
      <w:r w:rsidR="00FE02BB" w:rsidRPr="00DC61C3">
        <w:rPr>
          <w:lang w:val="en-GB"/>
        </w:rPr>
        <w:t xml:space="preserve"> (</w:t>
      </w:r>
      <w:proofErr w:type="spellStart"/>
      <w:r w:rsidR="00FE02BB" w:rsidRPr="00DC61C3">
        <w:rPr>
          <w:lang w:val="en-GB"/>
        </w:rPr>
        <w:t>Lakhouit</w:t>
      </w:r>
      <w:proofErr w:type="spellEnd"/>
      <w:r w:rsidR="00FE02BB" w:rsidRPr="00DC61C3">
        <w:rPr>
          <w:lang w:val="en-GB"/>
        </w:rPr>
        <w:t>, 2026)</w:t>
      </w:r>
      <w:r w:rsidR="00940629" w:rsidRPr="00DC61C3">
        <w:rPr>
          <w:lang w:val="en-GB"/>
        </w:rPr>
        <w:t>, depending on the source</w:t>
      </w:r>
      <w:r w:rsidR="00307A8A" w:rsidRPr="00DC61C3">
        <w:rPr>
          <w:lang w:val="en-GB"/>
        </w:rPr>
        <w:t xml:space="preserve"> and </w:t>
      </w:r>
      <w:r w:rsidRPr="00DC61C3">
        <w:rPr>
          <w:lang w:val="en-GB"/>
        </w:rPr>
        <w:t>purpose</w:t>
      </w:r>
      <w:r w:rsidR="00940629" w:rsidRPr="00DC61C3">
        <w:rPr>
          <w:lang w:val="en-GB"/>
        </w:rPr>
        <w:t xml:space="preserve">, e.g. HDPE geomembrane-based artificial covers for </w:t>
      </w:r>
      <w:r w:rsidR="00307A8A" w:rsidRPr="00DC61C3">
        <w:rPr>
          <w:lang w:val="en-GB"/>
        </w:rPr>
        <w:t xml:space="preserve">temporal </w:t>
      </w:r>
      <w:r w:rsidR="00940629" w:rsidRPr="00DC61C3">
        <w:rPr>
          <w:lang w:val="en-GB"/>
        </w:rPr>
        <w:t>dumped organic waste (</w:t>
      </w:r>
      <w:proofErr w:type="spellStart"/>
      <w:r w:rsidR="00940629" w:rsidRPr="00DC61C3">
        <w:rPr>
          <w:lang w:val="en-GB"/>
        </w:rPr>
        <w:t>Vizuete</w:t>
      </w:r>
      <w:proofErr w:type="spellEnd"/>
      <w:r w:rsidR="00940629" w:rsidRPr="00DC61C3">
        <w:rPr>
          <w:lang w:val="en-GB"/>
        </w:rPr>
        <w:t>-Montero et al., 2025),</w:t>
      </w:r>
      <w:r w:rsidR="00307A8A" w:rsidRPr="00DC61C3">
        <w:rPr>
          <w:lang w:val="en-GB"/>
        </w:rPr>
        <w:t xml:space="preserve"> </w:t>
      </w:r>
      <w:r w:rsidR="008715DD" w:rsidRPr="00DC61C3">
        <w:rPr>
          <w:lang w:val="en-GB"/>
        </w:rPr>
        <w:t xml:space="preserve">or </w:t>
      </w:r>
      <w:proofErr w:type="spellStart"/>
      <w:r w:rsidR="00307A8A" w:rsidRPr="00DC61C3">
        <w:rPr>
          <w:lang w:val="en-GB"/>
        </w:rPr>
        <w:t>biocovers</w:t>
      </w:r>
      <w:proofErr w:type="spellEnd"/>
      <w:r w:rsidR="00307A8A" w:rsidRPr="00DC61C3">
        <w:rPr>
          <w:lang w:val="en-GB"/>
        </w:rPr>
        <w:t xml:space="preserve"> in the final cover systems (Zhang et al., 2024</w:t>
      </w:r>
      <w:r w:rsidR="005B55F7" w:rsidRPr="00DC61C3">
        <w:rPr>
          <w:lang w:val="en-GB"/>
        </w:rPr>
        <w:t>, Verma et al., 2025</w:t>
      </w:r>
      <w:r w:rsidR="00307A8A" w:rsidRPr="00DC61C3">
        <w:rPr>
          <w:lang w:val="en-GB"/>
        </w:rPr>
        <w:t>)</w:t>
      </w:r>
      <w:r w:rsidR="00FE02BB" w:rsidRPr="00DC61C3">
        <w:rPr>
          <w:lang w:val="en-GB"/>
        </w:rPr>
        <w:t xml:space="preserve">. </w:t>
      </w:r>
      <w:r w:rsidR="00A56ECE" w:rsidRPr="00DC61C3">
        <w:rPr>
          <w:lang w:val="en-GB"/>
        </w:rPr>
        <w:t>Additionally, hexagon-shaped HDPE elements can be used to prevent leachate evaporation from reservoir basins</w:t>
      </w:r>
      <w:r w:rsidR="00940629" w:rsidRPr="00DC61C3">
        <w:rPr>
          <w:lang w:val="en-GB"/>
        </w:rPr>
        <w:t>.</w:t>
      </w:r>
    </w:p>
    <w:p w14:paraId="7E075C14" w14:textId="1B07CDE5" w:rsidR="0025043B" w:rsidRPr="00DC61C3" w:rsidRDefault="00FF2165" w:rsidP="00FF2165">
      <w:pPr>
        <w:pStyle w:val="CETBodytext"/>
        <w:rPr>
          <w:lang w:val="en-GB"/>
        </w:rPr>
      </w:pPr>
      <w:r w:rsidRPr="00DC61C3">
        <w:rPr>
          <w:lang w:val="en-GB"/>
        </w:rPr>
        <w:t xml:space="preserve">Can Mata landfill (Els </w:t>
      </w:r>
      <w:proofErr w:type="spellStart"/>
      <w:r w:rsidRPr="00DC61C3">
        <w:rPr>
          <w:lang w:val="en-GB"/>
        </w:rPr>
        <w:t>Hostalets</w:t>
      </w:r>
      <w:proofErr w:type="spellEnd"/>
      <w:r w:rsidRPr="00DC61C3">
        <w:rPr>
          <w:lang w:val="en-GB"/>
        </w:rPr>
        <w:t xml:space="preserve"> de </w:t>
      </w:r>
      <w:proofErr w:type="spellStart"/>
      <w:r w:rsidRPr="00DC61C3">
        <w:rPr>
          <w:lang w:val="en-GB"/>
        </w:rPr>
        <w:t>Pierola</w:t>
      </w:r>
      <w:proofErr w:type="spellEnd"/>
      <w:r w:rsidRPr="00DC61C3">
        <w:rPr>
          <w:lang w:val="en-GB"/>
        </w:rPr>
        <w:t>, Catalonia, Spain) leachate reservoir emission factor was calculated using an inverse methodology in</w:t>
      </w:r>
      <w:r w:rsidR="00A56ECE" w:rsidRPr="00DC61C3">
        <w:rPr>
          <w:lang w:val="en-GB"/>
        </w:rPr>
        <w:t xml:space="preserve"> 2020 in</w:t>
      </w:r>
      <w:r w:rsidRPr="00DC61C3">
        <w:rPr>
          <w:lang w:val="en-GB"/>
        </w:rPr>
        <w:t xml:space="preserve"> a previous study.</w:t>
      </w:r>
      <w:r w:rsidR="0024486D" w:rsidRPr="00DC61C3">
        <w:rPr>
          <w:lang w:val="en-GB"/>
        </w:rPr>
        <w:t xml:space="preserve"> The main aim of the study was to determine emission factors from several key point sources of the landfill (</w:t>
      </w:r>
      <w:r w:rsidR="00A56ECE" w:rsidRPr="00DC61C3">
        <w:rPr>
          <w:lang w:val="en-GB"/>
        </w:rPr>
        <w:t xml:space="preserve">i.e. the </w:t>
      </w:r>
      <w:r w:rsidR="0024486D" w:rsidRPr="00DC61C3">
        <w:rPr>
          <w:lang w:val="en-GB"/>
        </w:rPr>
        <w:t>pre-closed area, the dumping area and the leachate reservoir), for the determination of its polluting and odorous impacts</w:t>
      </w:r>
      <w:r w:rsidR="00E936E4" w:rsidRPr="00DC61C3">
        <w:rPr>
          <w:lang w:val="en-GB"/>
        </w:rPr>
        <w:t xml:space="preserve"> (Gallego et al., 2024)</w:t>
      </w:r>
      <w:r w:rsidR="0024486D" w:rsidRPr="00DC61C3">
        <w:rPr>
          <w:lang w:val="en-GB"/>
        </w:rPr>
        <w:t>. The application of numerical modelling techniques to determine the impact of potentially emitting activities in their surroundings, such as landfills, is a highly valuable tool for facility management</w:t>
      </w:r>
      <w:r w:rsidR="006A202E" w:rsidRPr="00DC61C3">
        <w:rPr>
          <w:lang w:val="en-GB"/>
        </w:rPr>
        <w:t xml:space="preserve"> (</w:t>
      </w:r>
      <w:proofErr w:type="spellStart"/>
      <w:r w:rsidR="006A202E" w:rsidRPr="00DC61C3">
        <w:rPr>
          <w:lang w:val="en-GB"/>
        </w:rPr>
        <w:t>Szałata</w:t>
      </w:r>
      <w:proofErr w:type="spellEnd"/>
      <w:r w:rsidR="006A202E" w:rsidRPr="00DC61C3">
        <w:rPr>
          <w:lang w:val="en-GB"/>
        </w:rPr>
        <w:t xml:space="preserve"> et al., 2021, Zhang et al., 2021</w:t>
      </w:r>
      <w:r w:rsidR="00F36DFD">
        <w:rPr>
          <w:lang w:val="en-GB"/>
        </w:rPr>
        <w:t xml:space="preserve">, </w:t>
      </w:r>
      <w:proofErr w:type="spellStart"/>
      <w:r w:rsidR="00F36DFD" w:rsidRPr="00DC61C3">
        <w:rPr>
          <w:lang w:val="en-GB"/>
        </w:rPr>
        <w:t>Lakhouit</w:t>
      </w:r>
      <w:proofErr w:type="spellEnd"/>
      <w:r w:rsidR="00F36DFD" w:rsidRPr="00DC61C3">
        <w:rPr>
          <w:lang w:val="en-GB"/>
        </w:rPr>
        <w:t>, 2026</w:t>
      </w:r>
      <w:r w:rsidR="006A202E" w:rsidRPr="00DC61C3">
        <w:rPr>
          <w:lang w:val="en-GB"/>
        </w:rPr>
        <w:t>)</w:t>
      </w:r>
      <w:r w:rsidR="0024486D" w:rsidRPr="00DC61C3">
        <w:rPr>
          <w:lang w:val="en-GB"/>
        </w:rPr>
        <w:t>.</w:t>
      </w:r>
    </w:p>
    <w:p w14:paraId="45D7FE70" w14:textId="0B07A251" w:rsidR="00FF2165" w:rsidRPr="00DC61C3" w:rsidRDefault="00FF2165" w:rsidP="00FF2165">
      <w:pPr>
        <w:pStyle w:val="CETBodytext"/>
        <w:rPr>
          <w:lang w:val="en-GB"/>
        </w:rPr>
      </w:pPr>
      <w:r w:rsidRPr="00DC61C3">
        <w:rPr>
          <w:lang w:val="en-GB"/>
        </w:rPr>
        <w:t xml:space="preserve">Can Mata </w:t>
      </w:r>
      <w:proofErr w:type="gramStart"/>
      <w:r w:rsidRPr="00DC61C3">
        <w:rPr>
          <w:lang w:val="en-GB"/>
        </w:rPr>
        <w:t>is</w:t>
      </w:r>
      <w:proofErr w:type="gramEnd"/>
      <w:r w:rsidRPr="00DC61C3">
        <w:rPr>
          <w:lang w:val="en-GB"/>
        </w:rPr>
        <w:t xml:space="preserve"> a landfill where approximately 900.000 tons of municipal and non-hazardous waste </w:t>
      </w:r>
      <w:r w:rsidR="00A56ECE" w:rsidRPr="00DC61C3">
        <w:rPr>
          <w:lang w:val="en-GB"/>
        </w:rPr>
        <w:t>are disposed of</w:t>
      </w:r>
      <w:r w:rsidRPr="00DC61C3">
        <w:rPr>
          <w:lang w:val="en-GB"/>
        </w:rPr>
        <w:t xml:space="preserve"> annually</w:t>
      </w:r>
      <w:r w:rsidR="003C5426" w:rsidRPr="00DC61C3">
        <w:rPr>
          <w:lang w:val="en-GB"/>
        </w:rPr>
        <w:t xml:space="preserve">, </w:t>
      </w:r>
      <w:r w:rsidR="00A56ECE" w:rsidRPr="00DC61C3">
        <w:rPr>
          <w:lang w:val="en-GB"/>
        </w:rPr>
        <w:t>with an exceptional volume of 1 Mt managed in 2025</w:t>
      </w:r>
      <w:r w:rsidRPr="00DC61C3">
        <w:rPr>
          <w:lang w:val="en-GB"/>
        </w:rPr>
        <w:t xml:space="preserve">. Biogas is recovered from the process, generating </w:t>
      </w:r>
      <w:r w:rsidR="003C5426" w:rsidRPr="00DC61C3">
        <w:rPr>
          <w:lang w:val="en-GB"/>
        </w:rPr>
        <w:t>approximately</w:t>
      </w:r>
      <w:r w:rsidRPr="00DC61C3">
        <w:rPr>
          <w:lang w:val="en-GB"/>
        </w:rPr>
        <w:t xml:space="preserve"> 40 million of m</w:t>
      </w:r>
      <w:r w:rsidRPr="00DC61C3">
        <w:rPr>
          <w:vertAlign w:val="superscript"/>
          <w:lang w:val="en-GB"/>
        </w:rPr>
        <w:t>3</w:t>
      </w:r>
      <w:r w:rsidRPr="00DC61C3">
        <w:rPr>
          <w:lang w:val="en-GB"/>
        </w:rPr>
        <w:t xml:space="preserve"> of raw biogas per year. In July 2020, ambient air concentrations at 1 m above the ground of volatile organic compounds (VOCs), hydrogen </w:t>
      </w:r>
      <w:r w:rsidR="00DC61C3" w:rsidRPr="00DC61C3">
        <w:rPr>
          <w:lang w:val="en-GB"/>
        </w:rPr>
        <w:t>sul</w:t>
      </w:r>
      <w:r w:rsidR="00DC61C3">
        <w:rPr>
          <w:lang w:val="en-GB"/>
        </w:rPr>
        <w:t>p</w:t>
      </w:r>
      <w:r w:rsidR="00DC61C3" w:rsidRPr="00DC61C3">
        <w:rPr>
          <w:lang w:val="en-GB"/>
        </w:rPr>
        <w:t>hide</w:t>
      </w:r>
      <w:r w:rsidRPr="00DC61C3">
        <w:rPr>
          <w:lang w:val="en-GB"/>
        </w:rPr>
        <w:t xml:space="preserve"> (H</w:t>
      </w:r>
      <w:r w:rsidRPr="00DC61C3">
        <w:rPr>
          <w:vertAlign w:val="subscript"/>
          <w:lang w:val="en-GB"/>
        </w:rPr>
        <w:t>2</w:t>
      </w:r>
      <w:r w:rsidRPr="00DC61C3">
        <w:rPr>
          <w:lang w:val="en-GB"/>
        </w:rPr>
        <w:t>S) and ammonia (NH</w:t>
      </w:r>
      <w:r w:rsidRPr="00DC61C3">
        <w:rPr>
          <w:vertAlign w:val="subscript"/>
          <w:lang w:val="en-GB"/>
        </w:rPr>
        <w:t>3</w:t>
      </w:r>
      <w:r w:rsidRPr="00DC61C3">
        <w:rPr>
          <w:lang w:val="en-GB"/>
        </w:rPr>
        <w:t>) were determined in the potentially emission sources of the landfill for the determination of emission factors.</w:t>
      </w:r>
      <w:r w:rsidR="003C5426" w:rsidRPr="00DC61C3">
        <w:rPr>
          <w:lang w:val="en-GB"/>
        </w:rPr>
        <w:t xml:space="preserve"> </w:t>
      </w:r>
      <w:r w:rsidRPr="00DC61C3">
        <w:rPr>
          <w:lang w:val="en-GB"/>
        </w:rPr>
        <w:t xml:space="preserve">In the </w:t>
      </w:r>
      <w:r w:rsidRPr="00DC61C3">
        <w:rPr>
          <w:lang w:val="en-GB"/>
        </w:rPr>
        <w:lastRenderedPageBreak/>
        <w:t>leachate reservoir, total VOC (TVOC) concentrations were found in the range of 0.3-0.6 mg m</w:t>
      </w:r>
      <w:r w:rsidRPr="00DC61C3">
        <w:rPr>
          <w:vertAlign w:val="superscript"/>
          <w:lang w:val="en-GB"/>
        </w:rPr>
        <w:t>-3</w:t>
      </w:r>
      <w:r w:rsidRPr="00DC61C3">
        <w:rPr>
          <w:lang w:val="en-GB"/>
        </w:rPr>
        <w:t>. On the other hand, H</w:t>
      </w:r>
      <w:r w:rsidRPr="00DC61C3">
        <w:rPr>
          <w:vertAlign w:val="subscript"/>
          <w:lang w:val="en-GB"/>
        </w:rPr>
        <w:t>2</w:t>
      </w:r>
      <w:r w:rsidRPr="00DC61C3">
        <w:rPr>
          <w:lang w:val="en-GB"/>
        </w:rPr>
        <w:t>S and NH</w:t>
      </w:r>
      <w:r w:rsidRPr="00DC61C3">
        <w:rPr>
          <w:vertAlign w:val="subscript"/>
          <w:lang w:val="en-GB"/>
        </w:rPr>
        <w:t>3</w:t>
      </w:r>
      <w:r w:rsidRPr="00DC61C3">
        <w:rPr>
          <w:lang w:val="en-GB"/>
        </w:rPr>
        <w:t xml:space="preserve"> concentrations presented values of 0.8-1.1 mg m</w:t>
      </w:r>
      <w:r w:rsidRPr="00DC61C3">
        <w:rPr>
          <w:vertAlign w:val="superscript"/>
          <w:lang w:val="en-GB"/>
        </w:rPr>
        <w:t>-3</w:t>
      </w:r>
      <w:r w:rsidRPr="00DC61C3">
        <w:rPr>
          <w:lang w:val="en-GB"/>
        </w:rPr>
        <w:t xml:space="preserve"> and 1.7-1.8 mg m</w:t>
      </w:r>
      <w:r w:rsidRPr="00DC61C3">
        <w:rPr>
          <w:vertAlign w:val="superscript"/>
          <w:lang w:val="en-GB"/>
        </w:rPr>
        <w:t>-3</w:t>
      </w:r>
      <w:r w:rsidRPr="00DC61C3">
        <w:rPr>
          <w:lang w:val="en-GB"/>
        </w:rPr>
        <w:t>, respectively. With the application of odour thresholds to the concentrations obtained, the most critical compounds regarding odour annoyances were determined, and their related odour units (O.U.) established. In the leachate reservoir, the highest odour units (O.U.) were mainly associated to H</w:t>
      </w:r>
      <w:r w:rsidRPr="00DC61C3">
        <w:rPr>
          <w:vertAlign w:val="subscript"/>
          <w:lang w:val="en-GB"/>
        </w:rPr>
        <w:t>2</w:t>
      </w:r>
      <w:r w:rsidRPr="00DC61C3">
        <w:rPr>
          <w:lang w:val="en-GB"/>
        </w:rPr>
        <w:t>S concentrations. O.U. related to H</w:t>
      </w:r>
      <w:r w:rsidRPr="00DC61C3">
        <w:rPr>
          <w:vertAlign w:val="subscript"/>
          <w:lang w:val="en-GB"/>
        </w:rPr>
        <w:t>2</w:t>
      </w:r>
      <w:r w:rsidRPr="00DC61C3">
        <w:rPr>
          <w:lang w:val="en-GB"/>
        </w:rPr>
        <w:t>S, NH</w:t>
      </w:r>
      <w:r w:rsidRPr="00DC61C3">
        <w:rPr>
          <w:vertAlign w:val="subscript"/>
          <w:lang w:val="en-GB"/>
        </w:rPr>
        <w:t>3</w:t>
      </w:r>
      <w:r w:rsidRPr="00DC61C3">
        <w:rPr>
          <w:lang w:val="en-GB"/>
        </w:rPr>
        <w:t xml:space="preserve"> and TVOC concentrations were in the range of 1129-1609 O.U., 1 O.U. and 12-16 O.U., respectively, H</w:t>
      </w:r>
      <w:r w:rsidRPr="00DC61C3">
        <w:rPr>
          <w:vertAlign w:val="subscript"/>
          <w:lang w:val="en-GB"/>
        </w:rPr>
        <w:t>2</w:t>
      </w:r>
      <w:r w:rsidRPr="00DC61C3">
        <w:rPr>
          <w:lang w:val="en-GB"/>
        </w:rPr>
        <w:t>S accounting for an average value of 99% of total odour units</w:t>
      </w:r>
      <w:r w:rsidR="003C5426" w:rsidRPr="00DC61C3">
        <w:rPr>
          <w:lang w:val="en-GB"/>
        </w:rPr>
        <w:t xml:space="preserve"> (Gallego et al., 2024)</w:t>
      </w:r>
      <w:r w:rsidRPr="00DC61C3">
        <w:rPr>
          <w:lang w:val="en-GB"/>
        </w:rPr>
        <w:t>.</w:t>
      </w:r>
      <w:r w:rsidR="002712CE">
        <w:rPr>
          <w:lang w:val="en-GB"/>
        </w:rPr>
        <w:t xml:space="preserve"> High odours </w:t>
      </w:r>
      <w:r w:rsidR="006B07DD">
        <w:rPr>
          <w:lang w:val="en-GB"/>
        </w:rPr>
        <w:t>related H</w:t>
      </w:r>
      <w:r w:rsidR="006B07DD" w:rsidRPr="006B07DD">
        <w:rPr>
          <w:vertAlign w:val="subscript"/>
          <w:lang w:val="en-GB"/>
        </w:rPr>
        <w:t>2</w:t>
      </w:r>
      <w:r w:rsidR="006B07DD">
        <w:rPr>
          <w:lang w:val="en-GB"/>
        </w:rPr>
        <w:t>S in the leachate basins are caused by its low odour threshold (</w:t>
      </w:r>
      <w:r w:rsidR="000539B1">
        <w:rPr>
          <w:lang w:val="en-GB"/>
        </w:rPr>
        <w:t>Ren et al., 2025</w:t>
      </w:r>
      <w:r w:rsidR="006B07DD">
        <w:rPr>
          <w:lang w:val="en-GB"/>
        </w:rPr>
        <w:t xml:space="preserve">) as well as by its concentration in the leachate, which can </w:t>
      </w:r>
      <w:r w:rsidR="006B07DD" w:rsidRPr="006B07DD">
        <w:rPr>
          <w:lang w:val="en-GB"/>
        </w:rPr>
        <w:t xml:space="preserve">pose a significant operational challenge. </w:t>
      </w:r>
      <w:r w:rsidR="006B07DD">
        <w:rPr>
          <w:lang w:val="en-GB"/>
        </w:rPr>
        <w:t>High leachate H</w:t>
      </w:r>
      <w:r w:rsidR="006B07DD" w:rsidRPr="006B07DD">
        <w:rPr>
          <w:vertAlign w:val="subscript"/>
          <w:lang w:val="en-GB"/>
        </w:rPr>
        <w:t>2</w:t>
      </w:r>
      <w:r w:rsidR="006B07DD">
        <w:rPr>
          <w:lang w:val="en-GB"/>
        </w:rPr>
        <w:t>S concentrations</w:t>
      </w:r>
      <w:r w:rsidR="006B07DD" w:rsidRPr="006B07DD">
        <w:rPr>
          <w:lang w:val="en-GB"/>
        </w:rPr>
        <w:t xml:space="preserve"> can hasten the deterioration of infrastructure</w:t>
      </w:r>
      <w:r w:rsidR="006B07DD">
        <w:rPr>
          <w:lang w:val="en-GB"/>
        </w:rPr>
        <w:t xml:space="preserve"> </w:t>
      </w:r>
      <w:r w:rsidR="006B07DD" w:rsidRPr="006B07DD">
        <w:rPr>
          <w:lang w:val="en-GB"/>
        </w:rPr>
        <w:t>and disrupt the efficiency of subsequent treatment systems</w:t>
      </w:r>
      <w:r w:rsidR="006B07DD">
        <w:rPr>
          <w:lang w:val="en-GB"/>
        </w:rPr>
        <w:t xml:space="preserve"> (</w:t>
      </w:r>
      <w:proofErr w:type="spellStart"/>
      <w:r w:rsidR="006B07DD">
        <w:rPr>
          <w:lang w:val="en-GB"/>
        </w:rPr>
        <w:t>D’Aoust</w:t>
      </w:r>
      <w:proofErr w:type="spellEnd"/>
      <w:r w:rsidR="006B07DD">
        <w:rPr>
          <w:lang w:val="en-GB"/>
        </w:rPr>
        <w:t xml:space="preserve"> et al., 2026)</w:t>
      </w:r>
      <w:r w:rsidR="006B07DD" w:rsidRPr="006B07DD">
        <w:rPr>
          <w:lang w:val="en-GB"/>
        </w:rPr>
        <w:t>.</w:t>
      </w:r>
    </w:p>
    <w:p w14:paraId="3269C565" w14:textId="7AEEDB5B" w:rsidR="0024486D" w:rsidRPr="00DC61C3" w:rsidRDefault="00935656" w:rsidP="00FF2165">
      <w:pPr>
        <w:pStyle w:val="CETBodytext"/>
        <w:rPr>
          <w:lang w:val="en-GB"/>
        </w:rPr>
      </w:pPr>
      <w:r w:rsidRPr="00DC61C3">
        <w:rPr>
          <w:lang w:val="en-GB"/>
        </w:rPr>
        <w:t>In order to minimize H</w:t>
      </w:r>
      <w:r w:rsidRPr="00DC61C3">
        <w:rPr>
          <w:rFonts w:ascii="Cambria Math" w:hAnsi="Cambria Math" w:cs="Cambria Math"/>
          <w:lang w:val="en-GB"/>
        </w:rPr>
        <w:t>₂</w:t>
      </w:r>
      <w:r w:rsidRPr="00DC61C3">
        <w:rPr>
          <w:lang w:val="en-GB"/>
        </w:rPr>
        <w:t xml:space="preserve">S emissions and thereby reduce odour impacts from </w:t>
      </w:r>
      <w:r w:rsidR="00AE26ED">
        <w:rPr>
          <w:lang w:val="en-GB"/>
        </w:rPr>
        <w:t>Can Mata</w:t>
      </w:r>
      <w:r w:rsidRPr="00DC61C3">
        <w:rPr>
          <w:lang w:val="en-GB"/>
        </w:rPr>
        <w:t xml:space="preserve"> landfill, hexagon-shaped HDPE elements were installed in 2024 to </w:t>
      </w:r>
      <w:r w:rsidR="00EA726E">
        <w:rPr>
          <w:lang w:val="en-GB"/>
        </w:rPr>
        <w:t>reduce</w:t>
      </w:r>
      <w:r w:rsidRPr="00DC61C3">
        <w:rPr>
          <w:lang w:val="en-GB"/>
        </w:rPr>
        <w:t xml:space="preserve"> evaporation from the leachate basins</w:t>
      </w:r>
      <w:r w:rsidR="00FF2165" w:rsidRPr="00DC61C3">
        <w:rPr>
          <w:lang w:val="en-GB"/>
        </w:rPr>
        <w:t xml:space="preserve">. </w:t>
      </w:r>
      <w:r w:rsidR="0024486D" w:rsidRPr="00DC61C3">
        <w:rPr>
          <w:lang w:val="en-GB"/>
        </w:rPr>
        <w:t xml:space="preserve">The present study, hence, </w:t>
      </w:r>
      <w:r w:rsidR="007444EC" w:rsidRPr="00DC61C3">
        <w:rPr>
          <w:lang w:val="en-GB"/>
        </w:rPr>
        <w:t>aims to evaluate differences in polluting/odorous emissions from the cited basin from year 2020, without any cover, and 2025, with the hexagonal shaped HPDE elements.</w:t>
      </w:r>
    </w:p>
    <w:p w14:paraId="75F3A545" w14:textId="77777777" w:rsidR="005E1191" w:rsidRPr="00DC61C3" w:rsidRDefault="002E0C68" w:rsidP="005E1191">
      <w:pPr>
        <w:pStyle w:val="CETHeading1"/>
        <w:rPr>
          <w:lang w:val="en-GB"/>
        </w:rPr>
      </w:pPr>
      <w:r w:rsidRPr="00DC61C3">
        <w:rPr>
          <w:lang w:val="en-GB"/>
        </w:rPr>
        <w:t>Methodology</w:t>
      </w:r>
      <w:r w:rsidR="005E1191" w:rsidRPr="00DC61C3">
        <w:rPr>
          <w:lang w:val="en-GB"/>
        </w:rPr>
        <w:t xml:space="preserve"> </w:t>
      </w:r>
    </w:p>
    <w:p w14:paraId="341A3662" w14:textId="6C2FADF9" w:rsidR="005E1191" w:rsidRPr="00DC61C3" w:rsidRDefault="005E1191" w:rsidP="005E1191">
      <w:pPr>
        <w:pStyle w:val="CETheadingx"/>
        <w:rPr>
          <w:lang w:val="en-GB"/>
        </w:rPr>
      </w:pPr>
      <w:r w:rsidRPr="00DC61C3">
        <w:rPr>
          <w:lang w:val="en-GB"/>
        </w:rPr>
        <w:t>Chemicals and materials</w:t>
      </w:r>
    </w:p>
    <w:p w14:paraId="261D5980" w14:textId="4A664817" w:rsidR="005E1191" w:rsidRPr="00DC61C3" w:rsidRDefault="005E1191" w:rsidP="005E1191">
      <w:pPr>
        <w:pStyle w:val="CETBodytext"/>
        <w:rPr>
          <w:lang w:val="en-GB"/>
        </w:rPr>
      </w:pPr>
      <w:r w:rsidRPr="00DC61C3">
        <w:rPr>
          <w:lang w:val="en-GB"/>
        </w:rPr>
        <w:t>H</w:t>
      </w:r>
      <w:r w:rsidRPr="00DC61C3">
        <w:rPr>
          <w:vertAlign w:val="subscript"/>
          <w:lang w:val="en-GB"/>
        </w:rPr>
        <w:t>2</w:t>
      </w:r>
      <w:r w:rsidRPr="00DC61C3">
        <w:rPr>
          <w:lang w:val="en-GB"/>
        </w:rPr>
        <w:t xml:space="preserve">S (RAD170) cartridge adsorbents and </w:t>
      </w:r>
      <w:proofErr w:type="spellStart"/>
      <w:r w:rsidRPr="00DC61C3">
        <w:rPr>
          <w:lang w:val="en-GB"/>
        </w:rPr>
        <w:t>Radiello</w:t>
      </w:r>
      <w:proofErr w:type="spellEnd"/>
      <w:r w:rsidRPr="00DC61C3">
        <w:rPr>
          <w:lang w:val="en-GB"/>
        </w:rPr>
        <w:t xml:space="preserve"> </w:t>
      </w:r>
      <w:proofErr w:type="spellStart"/>
      <w:r w:rsidRPr="00DC61C3">
        <w:rPr>
          <w:lang w:val="en-GB"/>
        </w:rPr>
        <w:t>Mehylene</w:t>
      </w:r>
      <w:proofErr w:type="spellEnd"/>
      <w:r w:rsidRPr="00DC61C3">
        <w:rPr>
          <w:lang w:val="en-GB"/>
        </w:rPr>
        <w:t xml:space="preserve"> blue calibration standard for H</w:t>
      </w:r>
      <w:r w:rsidRPr="00DC61C3">
        <w:rPr>
          <w:vertAlign w:val="subscript"/>
          <w:lang w:val="en-GB"/>
        </w:rPr>
        <w:t>2</w:t>
      </w:r>
      <w:r w:rsidRPr="00DC61C3">
        <w:rPr>
          <w:lang w:val="en-GB"/>
        </w:rPr>
        <w:t>S were obtained from Merck (</w:t>
      </w:r>
      <w:proofErr w:type="spellStart"/>
      <w:r w:rsidRPr="00DC61C3">
        <w:rPr>
          <w:lang w:val="en-GB"/>
        </w:rPr>
        <w:t>Damstadt</w:t>
      </w:r>
      <w:proofErr w:type="spellEnd"/>
      <w:r w:rsidRPr="00DC61C3">
        <w:rPr>
          <w:lang w:val="en-GB"/>
        </w:rPr>
        <w:t>, Germany).</w:t>
      </w:r>
    </w:p>
    <w:p w14:paraId="50E8759E" w14:textId="27C12D6C" w:rsidR="005E1191" w:rsidRPr="00DC61C3" w:rsidRDefault="005E1191" w:rsidP="005E1191">
      <w:pPr>
        <w:pStyle w:val="CETheadingx"/>
        <w:rPr>
          <w:lang w:val="en-GB"/>
        </w:rPr>
      </w:pPr>
      <w:r w:rsidRPr="00DC61C3">
        <w:rPr>
          <w:lang w:val="en-GB"/>
        </w:rPr>
        <w:t>Sampling strategy</w:t>
      </w:r>
    </w:p>
    <w:p w14:paraId="590621D2" w14:textId="6D8D93FA" w:rsidR="00BF6A7D" w:rsidRPr="00DC61C3" w:rsidRDefault="00BF6A7D" w:rsidP="00FF2165">
      <w:pPr>
        <w:pStyle w:val="CETBodytext"/>
        <w:rPr>
          <w:szCs w:val="18"/>
          <w:lang w:val="en-GB"/>
        </w:rPr>
      </w:pPr>
      <w:r w:rsidRPr="00DC61C3">
        <w:rPr>
          <w:szCs w:val="18"/>
          <w:lang w:val="en-GB"/>
        </w:rPr>
        <w:t>Since H</w:t>
      </w:r>
      <w:r w:rsidRPr="00DC61C3">
        <w:rPr>
          <w:rFonts w:ascii="Cambria Math" w:hAnsi="Cambria Math" w:cs="Cambria Math"/>
          <w:szCs w:val="18"/>
          <w:lang w:val="en-GB"/>
        </w:rPr>
        <w:t>₂</w:t>
      </w:r>
      <w:r w:rsidRPr="00DC61C3">
        <w:rPr>
          <w:szCs w:val="18"/>
          <w:lang w:val="en-GB"/>
        </w:rPr>
        <w:t>S was the main contributor to odours emitted from the leachate reservoir, the evaluation of the hexagon-shaped HDPE elements focused solely on changes in H</w:t>
      </w:r>
      <w:r w:rsidRPr="00DC61C3">
        <w:rPr>
          <w:rFonts w:ascii="Cambria Math" w:hAnsi="Cambria Math" w:cs="Cambria Math"/>
          <w:szCs w:val="18"/>
          <w:lang w:val="en-GB"/>
        </w:rPr>
        <w:t>₂</w:t>
      </w:r>
      <w:r w:rsidRPr="00DC61C3">
        <w:rPr>
          <w:szCs w:val="18"/>
          <w:lang w:val="en-GB"/>
        </w:rPr>
        <w:t>S concentrations to assess their effect on odour reduction. NH</w:t>
      </w:r>
      <w:r w:rsidRPr="00DC61C3">
        <w:rPr>
          <w:rFonts w:ascii="Cambria Math" w:hAnsi="Cambria Math" w:cs="Cambria Math"/>
          <w:szCs w:val="18"/>
          <w:lang w:val="en-GB"/>
        </w:rPr>
        <w:t>₃</w:t>
      </w:r>
      <w:r w:rsidRPr="00DC61C3">
        <w:rPr>
          <w:szCs w:val="18"/>
          <w:lang w:val="en-GB"/>
        </w:rPr>
        <w:t xml:space="preserve"> and TVOC emissions were considered to remain at 2020 levels. </w:t>
      </w:r>
      <w:bookmarkStart w:id="0" w:name="_Hlk231197909"/>
      <w:r w:rsidR="00A44F90" w:rsidRPr="00A44F90">
        <w:rPr>
          <w:szCs w:val="18"/>
          <w:lang w:val="en-GB"/>
        </w:rPr>
        <w:t xml:space="preserve">During the 2020–2025 period, Can Mata landfill </w:t>
      </w:r>
      <w:proofErr w:type="gramStart"/>
      <w:r w:rsidR="00A44F90" w:rsidRPr="00A44F90">
        <w:rPr>
          <w:szCs w:val="18"/>
          <w:lang w:val="en-GB"/>
        </w:rPr>
        <w:t>maintained</w:t>
      </w:r>
      <w:proofErr w:type="gramEnd"/>
      <w:r w:rsidR="00A44F90" w:rsidRPr="00A44F90">
        <w:rPr>
          <w:szCs w:val="18"/>
          <w:lang w:val="en-GB"/>
        </w:rPr>
        <w:t xml:space="preserve"> consistent waste input typologies, disposal volumes, and leachate basin operating conditions. As these key operational parameters remained unchanged throughout the study period, no significant variations in emissions attributable to changes in waste composition or landfill operational status were </w:t>
      </w:r>
      <w:r w:rsidR="00AC3955">
        <w:rPr>
          <w:szCs w:val="18"/>
          <w:lang w:val="en-GB"/>
        </w:rPr>
        <w:t>expected.</w:t>
      </w:r>
      <w:bookmarkEnd w:id="0"/>
    </w:p>
    <w:p w14:paraId="6208C815" w14:textId="32B81095" w:rsidR="005E1191" w:rsidRDefault="00FF2165" w:rsidP="00FF2165">
      <w:pPr>
        <w:pStyle w:val="CETBodytext"/>
        <w:rPr>
          <w:lang w:val="en-GB"/>
        </w:rPr>
      </w:pPr>
      <w:r w:rsidRPr="00DC61C3">
        <w:rPr>
          <w:lang w:val="en-GB"/>
        </w:rPr>
        <w:t>To determine H</w:t>
      </w:r>
      <w:r w:rsidRPr="00DC61C3">
        <w:rPr>
          <w:vertAlign w:val="subscript"/>
          <w:lang w:val="en-GB"/>
        </w:rPr>
        <w:t>2</w:t>
      </w:r>
      <w:r w:rsidRPr="00DC61C3">
        <w:rPr>
          <w:lang w:val="en-GB"/>
        </w:rPr>
        <w:t>S concentrations in the leachate basin, H</w:t>
      </w:r>
      <w:r w:rsidRPr="00DC61C3">
        <w:rPr>
          <w:vertAlign w:val="subscript"/>
          <w:lang w:val="en-GB"/>
        </w:rPr>
        <w:t>2</w:t>
      </w:r>
      <w:r w:rsidRPr="00DC61C3">
        <w:rPr>
          <w:lang w:val="en-GB"/>
        </w:rPr>
        <w:t xml:space="preserve">S was sampled </w:t>
      </w:r>
      <w:r w:rsidR="002E0C68" w:rsidRPr="00DC61C3">
        <w:rPr>
          <w:lang w:val="en-GB"/>
        </w:rPr>
        <w:t xml:space="preserve">in September 2025 </w:t>
      </w:r>
      <w:r w:rsidRPr="00DC61C3">
        <w:rPr>
          <w:lang w:val="en-GB"/>
        </w:rPr>
        <w:t xml:space="preserve">as had been done </w:t>
      </w:r>
      <w:r w:rsidR="005E1191" w:rsidRPr="00DC61C3">
        <w:rPr>
          <w:lang w:val="en-GB"/>
        </w:rPr>
        <w:t>previously</w:t>
      </w:r>
      <w:r w:rsidR="002E0C68" w:rsidRPr="00DC61C3">
        <w:rPr>
          <w:lang w:val="en-GB"/>
        </w:rPr>
        <w:t xml:space="preserve"> in July 2020</w:t>
      </w:r>
      <w:r w:rsidRPr="00DC61C3">
        <w:rPr>
          <w:lang w:val="en-GB"/>
        </w:rPr>
        <w:t xml:space="preserve">. </w:t>
      </w:r>
      <w:bookmarkStart w:id="1" w:name="_Hlk225154150"/>
      <w:proofErr w:type="spellStart"/>
      <w:r w:rsidRPr="00DC61C3">
        <w:rPr>
          <w:lang w:val="en-GB"/>
        </w:rPr>
        <w:t>Radiello</w:t>
      </w:r>
      <w:proofErr w:type="spellEnd"/>
      <w:r w:rsidRPr="00DC61C3">
        <w:rPr>
          <w:lang w:val="en-GB"/>
        </w:rPr>
        <w:t xml:space="preserve"> H</w:t>
      </w:r>
      <w:r w:rsidRPr="00DC61C3">
        <w:rPr>
          <w:vertAlign w:val="subscript"/>
          <w:lang w:val="en-GB"/>
        </w:rPr>
        <w:t>2</w:t>
      </w:r>
      <w:r w:rsidRPr="00DC61C3">
        <w:rPr>
          <w:lang w:val="en-GB"/>
        </w:rPr>
        <w:t>S cartridge adsorbents</w:t>
      </w:r>
      <w:bookmarkEnd w:id="1"/>
      <w:r w:rsidRPr="00DC61C3">
        <w:rPr>
          <w:lang w:val="en-GB"/>
        </w:rPr>
        <w:t xml:space="preserve"> (</w:t>
      </w:r>
      <w:r w:rsidR="00392A43" w:rsidRPr="00DC61C3">
        <w:rPr>
          <w:lang w:val="en-GB"/>
        </w:rPr>
        <w:t xml:space="preserve">reference </w:t>
      </w:r>
      <w:r w:rsidRPr="00DC61C3">
        <w:rPr>
          <w:lang w:val="en-GB"/>
        </w:rPr>
        <w:t xml:space="preserve">RAD170) were exposed during </w:t>
      </w:r>
      <w:r w:rsidR="005E1191" w:rsidRPr="00DC61C3">
        <w:rPr>
          <w:lang w:val="en-GB"/>
        </w:rPr>
        <w:t>several</w:t>
      </w:r>
      <w:r w:rsidRPr="00DC61C3">
        <w:rPr>
          <w:lang w:val="en-GB"/>
        </w:rPr>
        <w:t xml:space="preserve"> days</w:t>
      </w:r>
      <w:r w:rsidR="006F2807" w:rsidRPr="00DC61C3">
        <w:rPr>
          <w:lang w:val="en-GB"/>
        </w:rPr>
        <w:t xml:space="preserve"> (in duplicate)</w:t>
      </w:r>
      <w:r w:rsidRPr="00DC61C3">
        <w:rPr>
          <w:lang w:val="en-GB"/>
        </w:rPr>
        <w:t>, using their corresponding diffusive bodies</w:t>
      </w:r>
      <w:r w:rsidR="00392A43" w:rsidRPr="00DC61C3">
        <w:rPr>
          <w:lang w:val="en-GB"/>
        </w:rPr>
        <w:t xml:space="preserve"> (reference RAD 120)</w:t>
      </w:r>
      <w:r w:rsidRPr="00DC61C3">
        <w:rPr>
          <w:lang w:val="en-GB"/>
        </w:rPr>
        <w:t>, in three different representative points of the leachate basin</w:t>
      </w:r>
      <w:r w:rsidR="004B72F7">
        <w:rPr>
          <w:lang w:val="en-GB"/>
        </w:rPr>
        <w:t xml:space="preserve"> (Figure 1)</w:t>
      </w:r>
      <w:r w:rsidRPr="00DC61C3">
        <w:rPr>
          <w:lang w:val="en-GB"/>
        </w:rPr>
        <w:t>.</w:t>
      </w:r>
      <w:r w:rsidR="00971DC8">
        <w:rPr>
          <w:lang w:val="en-GB"/>
        </w:rPr>
        <w:t xml:space="preserve"> The t</w:t>
      </w:r>
      <w:r w:rsidR="00971DC8" w:rsidRPr="00971DC8">
        <w:rPr>
          <w:lang w:val="en-GB"/>
        </w:rPr>
        <w:t xml:space="preserve">hree </w:t>
      </w:r>
      <w:r w:rsidR="00971DC8">
        <w:rPr>
          <w:lang w:val="en-GB"/>
        </w:rPr>
        <w:t>sampling</w:t>
      </w:r>
      <w:r w:rsidR="00971DC8" w:rsidRPr="00971DC8">
        <w:rPr>
          <w:lang w:val="en-GB"/>
        </w:rPr>
        <w:t xml:space="preserve"> points were selected along the perimeter of the 4,500 </w:t>
      </w:r>
      <w:r w:rsidR="00971DC8">
        <w:rPr>
          <w:lang w:val="en-GB"/>
        </w:rPr>
        <w:t>m</w:t>
      </w:r>
      <w:r w:rsidR="00971DC8" w:rsidRPr="00971DC8">
        <w:rPr>
          <w:vertAlign w:val="superscript"/>
          <w:lang w:val="en-GB"/>
        </w:rPr>
        <w:t>3</w:t>
      </w:r>
      <w:r w:rsidR="00971DC8">
        <w:rPr>
          <w:lang w:val="en-GB"/>
        </w:rPr>
        <w:t xml:space="preserve"> </w:t>
      </w:r>
      <w:r w:rsidR="00971DC8" w:rsidRPr="00971DC8">
        <w:rPr>
          <w:lang w:val="en-GB"/>
        </w:rPr>
        <w:t xml:space="preserve">leachate pond on the downwind side, ensuring representative coverage of the area </w:t>
      </w:r>
      <w:r w:rsidR="001E2B6C">
        <w:rPr>
          <w:lang w:val="en-GB"/>
        </w:rPr>
        <w:t xml:space="preserve">of </w:t>
      </w:r>
      <w:r w:rsidR="00971DC8" w:rsidRPr="00971DC8">
        <w:rPr>
          <w:lang w:val="en-GB"/>
        </w:rPr>
        <w:t>potential emissions</w:t>
      </w:r>
      <w:r w:rsidR="00971DC8">
        <w:rPr>
          <w:lang w:val="en-GB"/>
        </w:rPr>
        <w:t xml:space="preserve">. </w:t>
      </w:r>
    </w:p>
    <w:p w14:paraId="33E23DBD" w14:textId="09673FA0" w:rsidR="004B72F7" w:rsidRDefault="004B72F7" w:rsidP="00FF2165">
      <w:pPr>
        <w:pStyle w:val="CETBodytext"/>
        <w:rPr>
          <w:lang w:val="en-GB"/>
        </w:rPr>
      </w:pPr>
    </w:p>
    <w:p w14:paraId="590086EF" w14:textId="7B775738" w:rsidR="004B72F7" w:rsidRDefault="00421290" w:rsidP="00FF2165">
      <w:pPr>
        <w:pStyle w:val="CETBodytext"/>
        <w:rPr>
          <w:lang w:val="en-GB"/>
        </w:rPr>
      </w:pPr>
      <w:r>
        <w:rPr>
          <w:rFonts w:cs="Arial"/>
          <w:noProof/>
          <w:sz w:val="26"/>
          <w:szCs w:val="26"/>
          <w:lang w:val="es-ES" w:eastAsia="es-ES"/>
        </w:rPr>
        <w:drawing>
          <wp:inline distT="0" distB="0" distL="0" distR="0" wp14:anchorId="6F41FFAB" wp14:editId="6CEA3702">
            <wp:extent cx="2628900" cy="2420759"/>
            <wp:effectExtent l="0" t="0" r="0" b="0"/>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706_120621.jpg"/>
                    <pic:cNvPicPr/>
                  </pic:nvPicPr>
                  <pic:blipFill rotWithShape="1">
                    <a:blip r:embed="rId11"/>
                    <a:srcRect l="7023" r="40191"/>
                    <a:stretch/>
                  </pic:blipFill>
                  <pic:spPr bwMode="auto">
                    <a:xfrm>
                      <a:off x="0" y="0"/>
                      <a:ext cx="2632468" cy="2424044"/>
                    </a:xfrm>
                    <a:prstGeom prst="rect">
                      <a:avLst/>
                    </a:prstGeom>
                    <a:ln>
                      <a:noFill/>
                    </a:ln>
                    <a:extLst>
                      <a:ext uri="{53640926-AAD7-44D8-BBD7-CCE9431645EC}">
                        <a14:shadowObscured xmlns:a14="http://schemas.microsoft.com/office/drawing/2010/main"/>
                      </a:ext>
                    </a:extLst>
                  </pic:spPr>
                </pic:pic>
              </a:graphicData>
            </a:graphic>
          </wp:inline>
        </w:drawing>
      </w:r>
      <w:r>
        <w:rPr>
          <w:lang w:val="en-GB"/>
        </w:rPr>
        <w:t xml:space="preserve">  </w:t>
      </w:r>
      <w:r w:rsidR="004B72F7">
        <w:rPr>
          <w:rFonts w:cs="Arial"/>
          <w:noProof/>
          <w:sz w:val="26"/>
          <w:szCs w:val="26"/>
          <w:lang w:val="es-ES" w:eastAsia="es-ES"/>
        </w:rPr>
        <w:drawing>
          <wp:inline distT="0" distB="0" distL="0" distR="0" wp14:anchorId="3DE37AAC" wp14:editId="2CC0CD6E">
            <wp:extent cx="2410695" cy="2867344"/>
            <wp:effectExtent l="317" t="0" r="9208" b="9207"/>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50923_131352.jpg"/>
                    <pic:cNvPicPr/>
                  </pic:nvPicPr>
                  <pic:blipFill rotWithShape="1">
                    <a:blip r:embed="rId12" cstate="print">
                      <a:extLst>
                        <a:ext uri="{28A0092B-C50C-407E-A947-70E740481C1C}">
                          <a14:useLocalDpi xmlns:a14="http://schemas.microsoft.com/office/drawing/2010/main" val="0"/>
                        </a:ext>
                      </a:extLst>
                    </a:blip>
                    <a:srcRect l="7121" r="39220"/>
                    <a:stretch/>
                  </pic:blipFill>
                  <pic:spPr bwMode="auto">
                    <a:xfrm rot="5400000">
                      <a:off x="0" y="0"/>
                      <a:ext cx="2434004" cy="2895068"/>
                    </a:xfrm>
                    <a:prstGeom prst="rect">
                      <a:avLst/>
                    </a:prstGeom>
                    <a:ln>
                      <a:noFill/>
                    </a:ln>
                    <a:extLst>
                      <a:ext uri="{53640926-AAD7-44D8-BBD7-CCE9431645EC}">
                        <a14:shadowObscured xmlns:a14="http://schemas.microsoft.com/office/drawing/2010/main"/>
                      </a:ext>
                    </a:extLst>
                  </pic:spPr>
                </pic:pic>
              </a:graphicData>
            </a:graphic>
          </wp:inline>
        </w:drawing>
      </w:r>
    </w:p>
    <w:p w14:paraId="534247E3" w14:textId="6BE8F141" w:rsidR="004B72F7" w:rsidRPr="00674594" w:rsidRDefault="004B72F7" w:rsidP="00FF2165">
      <w:pPr>
        <w:pStyle w:val="CETBodytext"/>
        <w:rPr>
          <w:i/>
          <w:lang w:val="en-GB"/>
        </w:rPr>
      </w:pPr>
      <w:r w:rsidRPr="00674594">
        <w:rPr>
          <w:i/>
          <w:lang w:val="en-GB"/>
        </w:rPr>
        <w:t>Figure 1.</w:t>
      </w:r>
      <w:r w:rsidR="00674594" w:rsidRPr="00674594">
        <w:rPr>
          <w:i/>
          <w:lang w:val="en-GB"/>
        </w:rPr>
        <w:t xml:space="preserve"> Leachate basin. H</w:t>
      </w:r>
      <w:r w:rsidR="00674594" w:rsidRPr="00674594">
        <w:rPr>
          <w:i/>
          <w:vertAlign w:val="subscript"/>
          <w:lang w:val="en-GB"/>
        </w:rPr>
        <w:t>2</w:t>
      </w:r>
      <w:r w:rsidR="00674594" w:rsidRPr="00674594">
        <w:rPr>
          <w:i/>
          <w:lang w:val="en-GB"/>
        </w:rPr>
        <w:t xml:space="preserve">S sampling during </w:t>
      </w:r>
      <w:r w:rsidR="00421290">
        <w:rPr>
          <w:i/>
          <w:lang w:val="en-GB"/>
        </w:rPr>
        <w:t xml:space="preserve">July 2020 (left) and </w:t>
      </w:r>
      <w:r w:rsidR="00674594" w:rsidRPr="00674594">
        <w:rPr>
          <w:i/>
          <w:lang w:val="en-GB"/>
        </w:rPr>
        <w:t>September 2025</w:t>
      </w:r>
      <w:r w:rsidR="00421290">
        <w:rPr>
          <w:i/>
          <w:lang w:val="en-GB"/>
        </w:rPr>
        <w:t xml:space="preserve"> (right)</w:t>
      </w:r>
      <w:r w:rsidR="00674594" w:rsidRPr="00674594">
        <w:rPr>
          <w:i/>
          <w:lang w:val="en-GB"/>
        </w:rPr>
        <w:t xml:space="preserve"> campaign</w:t>
      </w:r>
      <w:r w:rsidR="00421290">
        <w:rPr>
          <w:i/>
          <w:lang w:val="en-GB"/>
        </w:rPr>
        <w:t>s</w:t>
      </w:r>
      <w:r w:rsidR="00674594" w:rsidRPr="00674594">
        <w:rPr>
          <w:i/>
          <w:lang w:val="en-GB"/>
        </w:rPr>
        <w:t>.</w:t>
      </w:r>
    </w:p>
    <w:p w14:paraId="21554FF7" w14:textId="0D77A66D" w:rsidR="00392A43" w:rsidRPr="00DC61C3" w:rsidRDefault="00392A43" w:rsidP="00392A43">
      <w:pPr>
        <w:pStyle w:val="CETheadingx"/>
        <w:rPr>
          <w:lang w:val="en-GB"/>
        </w:rPr>
      </w:pPr>
      <w:r w:rsidRPr="00DC61C3">
        <w:rPr>
          <w:lang w:val="en-GB"/>
        </w:rPr>
        <w:t>H</w:t>
      </w:r>
      <w:r w:rsidRPr="00DC61C3">
        <w:rPr>
          <w:vertAlign w:val="subscript"/>
          <w:lang w:val="en-GB"/>
        </w:rPr>
        <w:t>2</w:t>
      </w:r>
      <w:r w:rsidRPr="00DC61C3">
        <w:rPr>
          <w:lang w:val="en-GB"/>
        </w:rPr>
        <w:t>S analytical methodology</w:t>
      </w:r>
    </w:p>
    <w:p w14:paraId="56797B2F" w14:textId="14D0E638" w:rsidR="00392A43" w:rsidRPr="00DC61C3" w:rsidRDefault="00392A43" w:rsidP="00FF2165">
      <w:pPr>
        <w:pStyle w:val="CETBodytext"/>
        <w:rPr>
          <w:lang w:val="en-GB"/>
        </w:rPr>
      </w:pPr>
      <w:proofErr w:type="spellStart"/>
      <w:r w:rsidRPr="00DC61C3">
        <w:rPr>
          <w:lang w:val="en-GB"/>
        </w:rPr>
        <w:t>Radiello</w:t>
      </w:r>
      <w:proofErr w:type="spellEnd"/>
      <w:r w:rsidRPr="00DC61C3">
        <w:rPr>
          <w:lang w:val="en-GB"/>
        </w:rPr>
        <w:t xml:space="preserve"> H</w:t>
      </w:r>
      <w:r w:rsidRPr="00DC61C3">
        <w:rPr>
          <w:vertAlign w:val="subscript"/>
          <w:lang w:val="en-GB"/>
        </w:rPr>
        <w:t>2</w:t>
      </w:r>
      <w:r w:rsidRPr="00DC61C3">
        <w:rPr>
          <w:lang w:val="en-GB"/>
        </w:rPr>
        <w:t xml:space="preserve">S cartridge adsorbents were treated according to the specifications of the </w:t>
      </w:r>
      <w:proofErr w:type="spellStart"/>
      <w:r w:rsidRPr="00DC61C3">
        <w:rPr>
          <w:lang w:val="en-GB"/>
        </w:rPr>
        <w:t>Radiello</w:t>
      </w:r>
      <w:proofErr w:type="spellEnd"/>
      <w:r w:rsidRPr="00DC61C3">
        <w:rPr>
          <w:lang w:val="en-GB"/>
        </w:rPr>
        <w:t xml:space="preserve"> method for the determination of hydrogen </w:t>
      </w:r>
      <w:r w:rsidR="00DC61C3" w:rsidRPr="00DC61C3">
        <w:rPr>
          <w:lang w:val="en-GB"/>
        </w:rPr>
        <w:t>sulphide</w:t>
      </w:r>
      <w:r w:rsidRPr="00DC61C3">
        <w:rPr>
          <w:lang w:val="en-GB"/>
        </w:rPr>
        <w:t xml:space="preserve"> in air, with subsequent analysis by spectrophotometry (absorbance at 665 </w:t>
      </w:r>
      <w:r w:rsidRPr="00DC61C3">
        <w:rPr>
          <w:lang w:val="en-GB"/>
        </w:rPr>
        <w:lastRenderedPageBreak/>
        <w:t xml:space="preserve">nm, </w:t>
      </w:r>
      <w:proofErr w:type="spellStart"/>
      <w:r w:rsidRPr="00DC61C3">
        <w:rPr>
          <w:lang w:val="en-GB"/>
        </w:rPr>
        <w:t>Specord</w:t>
      </w:r>
      <w:proofErr w:type="spellEnd"/>
      <w:r w:rsidRPr="00DC61C3">
        <w:rPr>
          <w:lang w:val="en-GB"/>
        </w:rPr>
        <w:t xml:space="preserve"> 200 Plus, </w:t>
      </w:r>
      <w:proofErr w:type="spellStart"/>
      <w:r w:rsidRPr="00DC61C3">
        <w:rPr>
          <w:lang w:val="en-GB"/>
        </w:rPr>
        <w:t>Analytik</w:t>
      </w:r>
      <w:proofErr w:type="spellEnd"/>
      <w:r w:rsidRPr="00DC61C3">
        <w:rPr>
          <w:lang w:val="en-GB"/>
        </w:rPr>
        <w:t xml:space="preserve"> Jena). Methylene blue solution (reference RAD171) was used for sample quantification.</w:t>
      </w:r>
    </w:p>
    <w:p w14:paraId="4F7B08AA" w14:textId="713F7C28" w:rsidR="007C0F7C" w:rsidRPr="00DC61C3" w:rsidRDefault="007C0F7C" w:rsidP="007C0F7C">
      <w:pPr>
        <w:pStyle w:val="CETheadingx"/>
        <w:rPr>
          <w:lang w:val="en-GB"/>
        </w:rPr>
      </w:pPr>
      <w:r w:rsidRPr="00DC61C3">
        <w:rPr>
          <w:lang w:val="en-GB"/>
        </w:rPr>
        <w:t>Odours calculation</w:t>
      </w:r>
    </w:p>
    <w:p w14:paraId="4A9FD872" w14:textId="7902902B" w:rsidR="007C0F7C" w:rsidRPr="00DC61C3" w:rsidRDefault="007C0F7C" w:rsidP="007C0F7C">
      <w:pPr>
        <w:pStyle w:val="CETBodytext"/>
        <w:rPr>
          <w:lang w:val="en-GB"/>
        </w:rPr>
      </w:pPr>
      <w:r w:rsidRPr="00DC61C3">
        <w:rPr>
          <w:lang w:val="en-GB"/>
        </w:rPr>
        <w:t>Odour units were calculated using the H</w:t>
      </w:r>
      <w:r w:rsidRPr="00DC61C3">
        <w:rPr>
          <w:vertAlign w:val="subscript"/>
          <w:lang w:val="en-GB"/>
        </w:rPr>
        <w:t>2</w:t>
      </w:r>
      <w:r w:rsidRPr="00DC61C3">
        <w:rPr>
          <w:lang w:val="en-GB"/>
        </w:rPr>
        <w:t xml:space="preserve">S </w:t>
      </w:r>
      <w:r w:rsidR="00184A2B" w:rsidRPr="00DC61C3">
        <w:rPr>
          <w:lang w:val="en-GB"/>
        </w:rPr>
        <w:t>field-measured concentrations</w:t>
      </w:r>
      <w:r w:rsidRPr="00DC61C3">
        <w:rPr>
          <w:lang w:val="en-GB"/>
        </w:rPr>
        <w:t xml:space="preserve"> and its odour threshold. Several </w:t>
      </w:r>
      <w:r w:rsidR="008F60B5" w:rsidRPr="00DC61C3">
        <w:rPr>
          <w:lang w:val="en-GB"/>
        </w:rPr>
        <w:t xml:space="preserve">references were reviewed to establish this threshold </w:t>
      </w:r>
      <w:r w:rsidRPr="00DC61C3">
        <w:rPr>
          <w:lang w:val="en-GB"/>
        </w:rPr>
        <w:t>(</w:t>
      </w:r>
      <w:proofErr w:type="spellStart"/>
      <w:r w:rsidRPr="00DC61C3">
        <w:rPr>
          <w:lang w:val="en-GB"/>
        </w:rPr>
        <w:t>Leonardos</w:t>
      </w:r>
      <w:proofErr w:type="spellEnd"/>
      <w:r w:rsidRPr="00DC61C3">
        <w:rPr>
          <w:lang w:val="en-GB"/>
        </w:rPr>
        <w:t xml:space="preserve"> et al., 1969</w:t>
      </w:r>
      <w:r w:rsidR="00184A2B" w:rsidRPr="00DC61C3">
        <w:rPr>
          <w:lang w:val="en-GB"/>
        </w:rPr>
        <w:t>,</w:t>
      </w:r>
      <w:r w:rsidRPr="00DC61C3">
        <w:rPr>
          <w:lang w:val="en-GB"/>
        </w:rPr>
        <w:t xml:space="preserve"> Nagata, 2003</w:t>
      </w:r>
      <w:r w:rsidR="00184A2B" w:rsidRPr="00DC61C3">
        <w:rPr>
          <w:lang w:val="en-GB"/>
        </w:rPr>
        <w:t>,</w:t>
      </w:r>
      <w:r w:rsidRPr="00DC61C3">
        <w:rPr>
          <w:lang w:val="en-GB"/>
        </w:rPr>
        <w:t xml:space="preserve"> van </w:t>
      </w:r>
      <w:proofErr w:type="spellStart"/>
      <w:r w:rsidRPr="00DC61C3">
        <w:rPr>
          <w:lang w:val="en-GB"/>
        </w:rPr>
        <w:t>Gemert</w:t>
      </w:r>
      <w:proofErr w:type="spellEnd"/>
      <w:r w:rsidRPr="00DC61C3">
        <w:rPr>
          <w:lang w:val="en-GB"/>
        </w:rPr>
        <w:t>, 2003</w:t>
      </w:r>
      <w:r w:rsidR="00184A2B" w:rsidRPr="00DC61C3">
        <w:rPr>
          <w:lang w:val="en-GB"/>
        </w:rPr>
        <w:t>,</w:t>
      </w:r>
      <w:r w:rsidRPr="00DC61C3">
        <w:rPr>
          <w:lang w:val="en-GB"/>
        </w:rPr>
        <w:t xml:space="preserve"> UK Environmental Agency, 2007</w:t>
      </w:r>
      <w:r w:rsidR="00184A2B" w:rsidRPr="00DC61C3">
        <w:rPr>
          <w:lang w:val="en-GB"/>
        </w:rPr>
        <w:t>,</w:t>
      </w:r>
      <w:r w:rsidRPr="00DC61C3">
        <w:rPr>
          <w:lang w:val="en-GB"/>
        </w:rPr>
        <w:t xml:space="preserve"> AIHA, 2013)</w:t>
      </w:r>
      <w:r w:rsidR="00184A2B" w:rsidRPr="00DC61C3">
        <w:rPr>
          <w:lang w:val="en-GB"/>
        </w:rPr>
        <w:t xml:space="preserve">, which was set </w:t>
      </w:r>
      <w:r w:rsidR="008F60B5" w:rsidRPr="00DC61C3">
        <w:rPr>
          <w:lang w:val="en-GB"/>
        </w:rPr>
        <w:t>at</w:t>
      </w:r>
      <w:r w:rsidR="00184A2B" w:rsidRPr="00DC61C3">
        <w:rPr>
          <w:lang w:val="en-GB"/>
        </w:rPr>
        <w:t xml:space="preserve"> 0.7 </w:t>
      </w:r>
      <w:r w:rsidR="00184A2B" w:rsidRPr="00DC61C3">
        <w:rPr>
          <w:rFonts w:cs="Arial"/>
          <w:lang w:val="en-GB"/>
        </w:rPr>
        <w:t>µ</w:t>
      </w:r>
      <w:r w:rsidR="00184A2B" w:rsidRPr="00DC61C3">
        <w:rPr>
          <w:lang w:val="en-GB"/>
        </w:rPr>
        <w:t>g m</w:t>
      </w:r>
      <w:r w:rsidR="00184A2B" w:rsidRPr="00DC61C3">
        <w:rPr>
          <w:vertAlign w:val="superscript"/>
          <w:lang w:val="en-GB"/>
        </w:rPr>
        <w:t>-3</w:t>
      </w:r>
      <w:r w:rsidR="00184A2B" w:rsidRPr="00DC61C3">
        <w:rPr>
          <w:lang w:val="en-GB"/>
        </w:rPr>
        <w:t>.</w:t>
      </w:r>
    </w:p>
    <w:p w14:paraId="7261C6EA" w14:textId="1CFF76B4" w:rsidR="00392A43" w:rsidRPr="00DC61C3" w:rsidRDefault="00BF6A7D" w:rsidP="00392A43">
      <w:pPr>
        <w:pStyle w:val="CETheadingx"/>
        <w:rPr>
          <w:lang w:val="en-GB"/>
        </w:rPr>
      </w:pPr>
      <w:r w:rsidRPr="00DC61C3">
        <w:rPr>
          <w:lang w:val="en-GB"/>
        </w:rPr>
        <w:t>Dispersion model used</w:t>
      </w:r>
    </w:p>
    <w:p w14:paraId="35416C16" w14:textId="7203E81B" w:rsidR="00BF6A7D" w:rsidRPr="00DC61C3" w:rsidRDefault="00BF6A7D" w:rsidP="00BF6A7D">
      <w:pPr>
        <w:pStyle w:val="CETBodytext"/>
        <w:rPr>
          <w:lang w:val="en-GB"/>
        </w:rPr>
      </w:pPr>
      <w:r w:rsidRPr="00DC61C3">
        <w:rPr>
          <w:lang w:val="en-GB"/>
        </w:rPr>
        <w:t xml:space="preserve">The method used to determine the surface emission of </w:t>
      </w:r>
      <w:r w:rsidR="00283756" w:rsidRPr="00DC61C3">
        <w:rPr>
          <w:lang w:val="en-GB"/>
        </w:rPr>
        <w:t>H</w:t>
      </w:r>
      <w:r w:rsidR="00283756" w:rsidRPr="00DC61C3">
        <w:rPr>
          <w:vertAlign w:val="subscript"/>
          <w:lang w:val="en-GB"/>
        </w:rPr>
        <w:t>2</w:t>
      </w:r>
      <w:r w:rsidR="00283756" w:rsidRPr="00DC61C3">
        <w:rPr>
          <w:lang w:val="en-GB"/>
        </w:rPr>
        <w:t xml:space="preserve">S </w:t>
      </w:r>
      <w:r w:rsidRPr="00DC61C3">
        <w:rPr>
          <w:lang w:val="en-GB"/>
        </w:rPr>
        <w:t xml:space="preserve">at Can Mata </w:t>
      </w:r>
      <w:r w:rsidR="00283756" w:rsidRPr="00DC61C3">
        <w:rPr>
          <w:lang w:val="en-GB"/>
        </w:rPr>
        <w:t>l</w:t>
      </w:r>
      <w:r w:rsidRPr="00DC61C3">
        <w:rPr>
          <w:lang w:val="en-GB"/>
        </w:rPr>
        <w:t xml:space="preserve">andfill is based on mass concentrations obtained experimentally from sampling at various points in the leachate basins, as described in the previous section. This is an indirect method, known as inverse modelling, in which the emission rates of existing surface sources are determined based on the concentrations measured at </w:t>
      </w:r>
      <w:proofErr w:type="spellStart"/>
      <w:r w:rsidRPr="00DC61C3">
        <w:rPr>
          <w:lang w:val="en-GB"/>
        </w:rPr>
        <w:t>immission</w:t>
      </w:r>
      <w:proofErr w:type="spellEnd"/>
      <w:r w:rsidRPr="00DC61C3">
        <w:rPr>
          <w:lang w:val="en-GB"/>
        </w:rPr>
        <w:t xml:space="preserve"> through chemical analysis</w:t>
      </w:r>
      <w:r w:rsidR="00283756" w:rsidRPr="00DC61C3">
        <w:rPr>
          <w:lang w:val="en-GB"/>
        </w:rPr>
        <w:t xml:space="preserve"> (Gallego et al., 2024)</w:t>
      </w:r>
      <w:r w:rsidRPr="00DC61C3">
        <w:rPr>
          <w:lang w:val="en-GB"/>
        </w:rPr>
        <w:t>.</w:t>
      </w:r>
    </w:p>
    <w:p w14:paraId="2CEBFB07" w14:textId="0181FAEC" w:rsidR="00392A43" w:rsidRPr="00DC61C3" w:rsidRDefault="00BF6A7D" w:rsidP="00BF6A7D">
      <w:pPr>
        <w:pStyle w:val="CETBodytext"/>
        <w:rPr>
          <w:lang w:val="en-GB"/>
        </w:rPr>
      </w:pPr>
      <w:r w:rsidRPr="00DC61C3">
        <w:rPr>
          <w:lang w:val="en-GB"/>
        </w:rPr>
        <w:t xml:space="preserve">The relationship between </w:t>
      </w:r>
      <w:proofErr w:type="spellStart"/>
      <w:r w:rsidRPr="00DC61C3">
        <w:rPr>
          <w:lang w:val="en-GB"/>
        </w:rPr>
        <w:t>immission</w:t>
      </w:r>
      <w:proofErr w:type="spellEnd"/>
      <w:r w:rsidRPr="00DC61C3">
        <w:rPr>
          <w:lang w:val="en-GB"/>
        </w:rPr>
        <w:t xml:space="preserve"> concentrations and emission rates can be established using different atmospheric dispersion models for chemical substances. In this case, the selected model is The Atmospheric Pollution Model (TAPM) developed by CSIRO (Australia).</w:t>
      </w:r>
      <w:r w:rsidR="00283756" w:rsidRPr="00DC61C3">
        <w:rPr>
          <w:lang w:val="en-GB"/>
        </w:rPr>
        <w:t xml:space="preserve"> </w:t>
      </w:r>
      <w:r w:rsidRPr="00DC61C3">
        <w:rPr>
          <w:lang w:val="en-GB"/>
        </w:rPr>
        <w:t>TAPM model solves the fundamental fluid-dynamic transport equations to predict both meteorology and pollutant concentrations for air quality assessment and management applications. TAPM consists of coupled meteorological forecasting components and air pollution components. Surface meteorological observations from the study area are incorporated into the calculations. The model predicts key local-scale processes affecting pollution, such as sea breezes and terrain-induced flows, based on meteorological data derived from synoptic-scale analyses.</w:t>
      </w:r>
      <w:r w:rsidR="00283756" w:rsidRPr="00DC61C3">
        <w:rPr>
          <w:lang w:val="en-GB"/>
        </w:rPr>
        <w:t xml:space="preserve"> </w:t>
      </w:r>
      <w:r w:rsidRPr="00DC61C3">
        <w:rPr>
          <w:lang w:val="en-GB"/>
        </w:rPr>
        <w:t>The meteorological component of TAPM is a system of differential equations for incompressible, non-hydrostatic flow that follows terrain contours for three-dimensional simulations. The model solves the vector momentum equations for horizontal wind components, the continuity equation for the vertical component, and scalar equations for virtual potential temperature, specific humidity of water vapor, cloud water, and rainwater.</w:t>
      </w:r>
      <w:r w:rsidR="00283756" w:rsidRPr="00DC61C3">
        <w:rPr>
          <w:lang w:val="en-GB"/>
        </w:rPr>
        <w:t xml:space="preserve"> </w:t>
      </w:r>
      <w:r w:rsidRPr="00DC61C3">
        <w:rPr>
          <w:lang w:val="en-GB"/>
        </w:rPr>
        <w:t xml:space="preserve">The air pollution component of TAPM uses the meteorological outputs through four modules. The Eulerian module solves differential equations for concentration forecasting and the cross-correlation between concentration and virtual potential temperature. The </w:t>
      </w:r>
      <w:proofErr w:type="spellStart"/>
      <w:r w:rsidRPr="00DC61C3">
        <w:rPr>
          <w:lang w:val="en-GB"/>
        </w:rPr>
        <w:t>Lagrangian</w:t>
      </w:r>
      <w:proofErr w:type="spellEnd"/>
      <w:r w:rsidRPr="00DC61C3">
        <w:rPr>
          <w:lang w:val="en-GB"/>
        </w:rPr>
        <w:t xml:space="preserve"> particle module can be used to study dispersion close to the emission source. The plume </w:t>
      </w:r>
      <w:proofErr w:type="gramStart"/>
      <w:r w:rsidRPr="00DC61C3">
        <w:rPr>
          <w:lang w:val="en-GB"/>
        </w:rPr>
        <w:t>rise</w:t>
      </w:r>
      <w:proofErr w:type="gramEnd"/>
      <w:r w:rsidRPr="00DC61C3">
        <w:rPr>
          <w:lang w:val="en-GB"/>
        </w:rPr>
        <w:t xml:space="preserve"> module accounts for buoyancy and momentum effects of point source emissions (e.g., stacks). Finally, the building effect module considers the influence of structures on pollutant dispersion and is applied in both the Eulerian and </w:t>
      </w:r>
      <w:proofErr w:type="spellStart"/>
      <w:r w:rsidRPr="00DC61C3">
        <w:rPr>
          <w:lang w:val="en-GB"/>
        </w:rPr>
        <w:t>Lagrangian</w:t>
      </w:r>
      <w:proofErr w:type="spellEnd"/>
      <w:r w:rsidRPr="00DC61C3">
        <w:rPr>
          <w:lang w:val="en-GB"/>
        </w:rPr>
        <w:t xml:space="preserve"> modules</w:t>
      </w:r>
      <w:r w:rsidR="00283756" w:rsidRPr="00DC61C3">
        <w:rPr>
          <w:lang w:val="en-GB"/>
        </w:rPr>
        <w:t xml:space="preserve"> (Hurley, 2005).</w:t>
      </w:r>
    </w:p>
    <w:p w14:paraId="7283CF3D" w14:textId="3F65E92A" w:rsidR="00283756" w:rsidRPr="00DC61C3" w:rsidRDefault="00283756" w:rsidP="00283756">
      <w:pPr>
        <w:pStyle w:val="CETheadingx"/>
        <w:rPr>
          <w:lang w:val="en-GB"/>
        </w:rPr>
      </w:pPr>
      <w:r w:rsidRPr="00DC61C3">
        <w:rPr>
          <w:lang w:val="en-GB"/>
        </w:rPr>
        <w:t>Meteorological data</w:t>
      </w:r>
    </w:p>
    <w:p w14:paraId="06B741D9" w14:textId="416FC60B" w:rsidR="00283756" w:rsidRPr="00DC61C3" w:rsidRDefault="00283756" w:rsidP="00BF6A7D">
      <w:pPr>
        <w:pStyle w:val="CETBodytext"/>
        <w:rPr>
          <w:lang w:val="en-GB"/>
        </w:rPr>
      </w:pPr>
      <w:r w:rsidRPr="00DC61C3">
        <w:rPr>
          <w:lang w:val="en-GB"/>
        </w:rPr>
        <w:t>Meteorological data from a local station, located within the Can Mata landfill site, were assimilated into the meteorological module to calculate air velocities and other necessary meteorological parameters for subsequent transport and dispersion modelling of pollutants. These local data were given priority over those calculated from synoptic mesoscale meteorological data for the area.</w:t>
      </w:r>
    </w:p>
    <w:p w14:paraId="780D5FAC" w14:textId="3919C4FB" w:rsidR="00283756" w:rsidRPr="00DC61C3" w:rsidRDefault="00283756" w:rsidP="00283756">
      <w:pPr>
        <w:pStyle w:val="CETheadingx"/>
        <w:rPr>
          <w:lang w:val="en-GB"/>
        </w:rPr>
      </w:pPr>
      <w:r w:rsidRPr="00DC61C3">
        <w:rPr>
          <w:lang w:val="en-GB"/>
        </w:rPr>
        <w:t>Calculation hypothesis</w:t>
      </w:r>
    </w:p>
    <w:p w14:paraId="5D366BE4" w14:textId="5A549553" w:rsidR="00283756" w:rsidRPr="00DC61C3" w:rsidRDefault="00283756" w:rsidP="00283756">
      <w:pPr>
        <w:pStyle w:val="CETBodytext"/>
        <w:rPr>
          <w:lang w:val="en-GB"/>
        </w:rPr>
      </w:pPr>
      <w:r w:rsidRPr="00DC61C3">
        <w:rPr>
          <w:lang w:val="en-GB"/>
        </w:rPr>
        <w:t>The relationship between the emission rate at a given location, expressed as mass per unit time (e.g., g s</w:t>
      </w:r>
      <w:r w:rsidRPr="00DC61C3">
        <w:rPr>
          <w:vertAlign w:val="superscript"/>
          <w:lang w:val="en-GB"/>
        </w:rPr>
        <w:t>-1</w:t>
      </w:r>
      <w:r w:rsidRPr="00DC61C3">
        <w:rPr>
          <w:lang w:val="en-GB"/>
        </w:rPr>
        <w:t xml:space="preserve">), and the </w:t>
      </w:r>
      <w:proofErr w:type="spellStart"/>
      <w:r w:rsidRPr="00DC61C3">
        <w:rPr>
          <w:lang w:val="en-GB"/>
        </w:rPr>
        <w:t>immission</w:t>
      </w:r>
      <w:proofErr w:type="spellEnd"/>
      <w:r w:rsidRPr="00DC61C3">
        <w:rPr>
          <w:lang w:val="en-GB"/>
        </w:rPr>
        <w:t xml:space="preserve"> concentration at a given point, expressed as mass per unit volume of air (e.g., g m</w:t>
      </w:r>
      <w:r w:rsidRPr="00DC61C3">
        <w:rPr>
          <w:vertAlign w:val="superscript"/>
          <w:lang w:val="en-GB"/>
        </w:rPr>
        <w:t>-</w:t>
      </w:r>
      <w:r w:rsidRPr="00DC61C3">
        <w:rPr>
          <w:lang w:val="en-GB"/>
        </w:rPr>
        <w:t>³), over a specific time period, is linear. This means that if the emission rate is doubled, the resulting concentration will also be twice as high as the original. This assumption has been verified through multiple runs of the software using different datasets. Furthermore, when performing mass balance calculations in a dynamic system, the assumption is consistent. The emission rate from each type of source is considered to be uniformly distributed across the entire emitting surface (Gallego et al., 2024).</w:t>
      </w:r>
    </w:p>
    <w:p w14:paraId="7FCAD06E" w14:textId="09FEEF4B" w:rsidR="005E1191" w:rsidRPr="00DC61C3" w:rsidRDefault="00283756" w:rsidP="00283756">
      <w:pPr>
        <w:pStyle w:val="CETHeading1"/>
        <w:rPr>
          <w:lang w:val="en-GB"/>
        </w:rPr>
      </w:pPr>
      <w:r w:rsidRPr="00DC61C3">
        <w:rPr>
          <w:lang w:val="en-GB"/>
        </w:rPr>
        <w:t>Results</w:t>
      </w:r>
    </w:p>
    <w:p w14:paraId="142ECB11" w14:textId="231A736B" w:rsidR="00283756" w:rsidRPr="00DC61C3" w:rsidRDefault="00283756" w:rsidP="00283756">
      <w:pPr>
        <w:pStyle w:val="CETheadingx"/>
        <w:rPr>
          <w:lang w:val="en-GB"/>
        </w:rPr>
      </w:pPr>
      <w:r w:rsidRPr="00DC61C3">
        <w:rPr>
          <w:lang w:val="en-GB"/>
        </w:rPr>
        <w:t>H</w:t>
      </w:r>
      <w:r w:rsidRPr="00DC61C3">
        <w:rPr>
          <w:vertAlign w:val="subscript"/>
          <w:lang w:val="en-GB"/>
        </w:rPr>
        <w:t>2</w:t>
      </w:r>
      <w:r w:rsidRPr="00DC61C3">
        <w:rPr>
          <w:lang w:val="en-GB"/>
        </w:rPr>
        <w:t>S concentrations</w:t>
      </w:r>
      <w:r w:rsidR="006F2807" w:rsidRPr="00DC61C3">
        <w:rPr>
          <w:lang w:val="en-GB"/>
        </w:rPr>
        <w:t xml:space="preserve"> and Odour units</w:t>
      </w:r>
    </w:p>
    <w:p w14:paraId="66ECEA20" w14:textId="1E037210" w:rsidR="006F2807" w:rsidRDefault="006F2807" w:rsidP="00EE2B91">
      <w:pPr>
        <w:pStyle w:val="CETBodytext"/>
        <w:rPr>
          <w:lang w:val="en-GB"/>
        </w:rPr>
      </w:pPr>
      <w:r w:rsidRPr="00DC61C3">
        <w:rPr>
          <w:lang w:val="en-GB"/>
        </w:rPr>
        <w:t>Table 1</w:t>
      </w:r>
      <w:r w:rsidR="00DC61C3">
        <w:rPr>
          <w:lang w:val="en-GB"/>
        </w:rPr>
        <w:t xml:space="preserve"> </w:t>
      </w:r>
      <w:r w:rsidRPr="00DC61C3">
        <w:rPr>
          <w:lang w:val="en-GB"/>
        </w:rPr>
        <w:t>present</w:t>
      </w:r>
      <w:r w:rsidR="00397008">
        <w:rPr>
          <w:lang w:val="en-GB"/>
        </w:rPr>
        <w:t>s</w:t>
      </w:r>
      <w:r w:rsidRPr="00DC61C3">
        <w:rPr>
          <w:lang w:val="en-GB"/>
        </w:rPr>
        <w:t xml:space="preserve"> H</w:t>
      </w:r>
      <w:r w:rsidRPr="00DC61C3">
        <w:rPr>
          <w:vertAlign w:val="subscript"/>
          <w:lang w:val="en-GB"/>
        </w:rPr>
        <w:t>2</w:t>
      </w:r>
      <w:r w:rsidRPr="00DC61C3">
        <w:rPr>
          <w:lang w:val="en-GB"/>
        </w:rPr>
        <w:t xml:space="preserve">S concentrations </w:t>
      </w:r>
      <w:r w:rsidR="00DC61C3">
        <w:rPr>
          <w:lang w:val="en-GB"/>
        </w:rPr>
        <w:t xml:space="preserve">and </w:t>
      </w:r>
      <w:r w:rsidR="00DC61C3" w:rsidRPr="00DC61C3">
        <w:rPr>
          <w:lang w:val="en-GB"/>
        </w:rPr>
        <w:t>odour units related to H</w:t>
      </w:r>
      <w:r w:rsidR="00DC61C3" w:rsidRPr="00DC61C3">
        <w:rPr>
          <w:vertAlign w:val="subscript"/>
          <w:lang w:val="en-GB"/>
        </w:rPr>
        <w:t>2</w:t>
      </w:r>
      <w:r w:rsidR="00DC61C3" w:rsidRPr="00DC61C3">
        <w:rPr>
          <w:lang w:val="en-GB"/>
        </w:rPr>
        <w:t xml:space="preserve">S concentrations </w:t>
      </w:r>
      <w:r w:rsidRPr="00DC61C3">
        <w:rPr>
          <w:lang w:val="en-GB"/>
        </w:rPr>
        <w:t>in the three evaluated points of the leachate basin in 2020 and 2025.</w:t>
      </w:r>
      <w:r w:rsidR="00397008">
        <w:rPr>
          <w:lang w:val="en-GB"/>
        </w:rPr>
        <w:t xml:space="preserve"> It has to be noted that a single sample was taken in 2020 and duplicate samples were taken in 2025.</w:t>
      </w:r>
    </w:p>
    <w:p w14:paraId="56E94266" w14:textId="5DB14B3E" w:rsidR="007B1664" w:rsidRPr="00DC61C3" w:rsidRDefault="007B1664" w:rsidP="007B1664">
      <w:pPr>
        <w:pStyle w:val="CETBodytext"/>
        <w:rPr>
          <w:lang w:val="en-GB"/>
        </w:rPr>
      </w:pPr>
      <w:r w:rsidRPr="00DC61C3">
        <w:rPr>
          <w:lang w:val="en-GB"/>
        </w:rPr>
        <w:t>As can be observed, the concentrations measured at the three sampling points in the leachate basin in 2025 are substantially lower, by nearly one order of magnitude.</w:t>
      </w:r>
      <w:r>
        <w:rPr>
          <w:lang w:val="en-GB"/>
        </w:rPr>
        <w:t xml:space="preserve"> Differences among the thee sampling points in each sampling campaign are related to their relative location in the basin and the dominant winds.</w:t>
      </w:r>
      <w:r w:rsidRPr="00DC61C3">
        <w:rPr>
          <w:lang w:val="en-GB"/>
        </w:rPr>
        <w:t xml:space="preserve"> The average concentration of the three sampling points of the leachate basin was 954 ± 168 µg m</w:t>
      </w:r>
      <w:r w:rsidRPr="00DC61C3">
        <w:rPr>
          <w:vertAlign w:val="superscript"/>
          <w:lang w:val="en-GB"/>
        </w:rPr>
        <w:t>-</w:t>
      </w:r>
      <w:r w:rsidRPr="00DC61C3">
        <w:rPr>
          <w:lang w:val="en-GB"/>
        </w:rPr>
        <w:t>³ in 2020</w:t>
      </w:r>
      <w:r>
        <w:rPr>
          <w:lang w:val="en-GB"/>
        </w:rPr>
        <w:t xml:space="preserve"> (</w:t>
      </w:r>
      <w:r w:rsidRPr="00397008">
        <w:rPr>
          <w:i/>
          <w:lang w:val="en-GB"/>
        </w:rPr>
        <w:t>n</w:t>
      </w:r>
      <w:r>
        <w:rPr>
          <w:lang w:val="en-GB"/>
        </w:rPr>
        <w:t xml:space="preserve"> = 3)</w:t>
      </w:r>
      <w:r w:rsidRPr="00DC61C3">
        <w:rPr>
          <w:lang w:val="en-GB"/>
        </w:rPr>
        <w:t>, whereas in 2025 the average concentration was 117 ± 16 µg m</w:t>
      </w:r>
      <w:r w:rsidRPr="00DC61C3">
        <w:rPr>
          <w:vertAlign w:val="superscript"/>
          <w:lang w:val="en-GB"/>
        </w:rPr>
        <w:t>-</w:t>
      </w:r>
      <w:r w:rsidRPr="00DC61C3">
        <w:rPr>
          <w:lang w:val="en-GB"/>
        </w:rPr>
        <w:t>³ (90-139 µg m</w:t>
      </w:r>
      <w:r w:rsidRPr="00DC61C3">
        <w:rPr>
          <w:vertAlign w:val="superscript"/>
          <w:lang w:val="en-GB"/>
        </w:rPr>
        <w:t>-</w:t>
      </w:r>
      <w:r w:rsidRPr="00DC61C3">
        <w:rPr>
          <w:lang w:val="en-GB"/>
        </w:rPr>
        <w:t>³)</w:t>
      </w:r>
      <w:r>
        <w:rPr>
          <w:lang w:val="en-GB"/>
        </w:rPr>
        <w:t xml:space="preserve"> (</w:t>
      </w:r>
      <w:r w:rsidRPr="00397008">
        <w:rPr>
          <w:i/>
          <w:lang w:val="en-GB"/>
        </w:rPr>
        <w:t>n</w:t>
      </w:r>
      <w:r>
        <w:rPr>
          <w:lang w:val="en-GB"/>
        </w:rPr>
        <w:t xml:space="preserve"> = 6)</w:t>
      </w:r>
      <w:r w:rsidRPr="00DC61C3">
        <w:rPr>
          <w:lang w:val="en-GB"/>
        </w:rPr>
        <w:t xml:space="preserve">, corresponding to a concentration </w:t>
      </w:r>
      <w:r w:rsidRPr="00DC61C3">
        <w:rPr>
          <w:lang w:val="en-GB"/>
        </w:rPr>
        <w:lastRenderedPageBreak/>
        <w:t>reduction of 87.7%.</w:t>
      </w:r>
      <w:r>
        <w:rPr>
          <w:lang w:val="en-GB"/>
        </w:rPr>
        <w:t xml:space="preserve"> </w:t>
      </w:r>
      <w:r w:rsidRPr="009D3440">
        <w:rPr>
          <w:lang w:val="en-GB"/>
        </w:rPr>
        <w:t>The results are consistent with previous studies on landfill leachate activities, which have reported ambient air H</w:t>
      </w:r>
      <w:r w:rsidRPr="009D3440">
        <w:rPr>
          <w:rFonts w:ascii="Cambria Math" w:hAnsi="Cambria Math" w:cs="Cambria Math"/>
          <w:lang w:val="en-GB"/>
        </w:rPr>
        <w:t>₂</w:t>
      </w:r>
      <w:r w:rsidRPr="009D3440">
        <w:rPr>
          <w:lang w:val="en-GB"/>
        </w:rPr>
        <w:t xml:space="preserve">S concentrations in surrounding areas ranging from 20 to 3,800 </w:t>
      </w:r>
      <w:r w:rsidRPr="009D3440">
        <w:rPr>
          <w:rFonts w:cs="Arial"/>
          <w:lang w:val="en-GB"/>
        </w:rPr>
        <w:t>µ</w:t>
      </w:r>
      <w:r w:rsidRPr="009D3440">
        <w:rPr>
          <w:lang w:val="en-GB"/>
        </w:rPr>
        <w:t>g m</w:t>
      </w:r>
      <w:r w:rsidRPr="009D3440">
        <w:rPr>
          <w:rFonts w:ascii="Cambria Math" w:hAnsi="Cambria Math" w:cs="Cambria Math"/>
          <w:lang w:val="en-GB"/>
        </w:rPr>
        <w:t>⁻</w:t>
      </w:r>
      <w:r w:rsidRPr="009D3440">
        <w:rPr>
          <w:rFonts w:cs="Arial"/>
          <w:lang w:val="en-GB"/>
        </w:rPr>
        <w:t>³</w:t>
      </w:r>
      <w:r w:rsidRPr="009D3440">
        <w:rPr>
          <w:lang w:val="en-GB"/>
        </w:rPr>
        <w:t xml:space="preserve"> </w:t>
      </w:r>
      <w:r>
        <w:rPr>
          <w:lang w:val="en-GB"/>
        </w:rPr>
        <w:t>(</w:t>
      </w:r>
      <w:proofErr w:type="spellStart"/>
      <w:r>
        <w:rPr>
          <w:lang w:val="en-GB"/>
        </w:rPr>
        <w:t>Izady</w:t>
      </w:r>
      <w:proofErr w:type="spellEnd"/>
      <w:r>
        <w:rPr>
          <w:lang w:val="en-GB"/>
        </w:rPr>
        <w:t xml:space="preserve"> et al., 2026).</w:t>
      </w:r>
    </w:p>
    <w:p w14:paraId="5D639475" w14:textId="50432A77" w:rsidR="006F2807" w:rsidRPr="00DC61C3" w:rsidRDefault="006F2807" w:rsidP="00EE2B91">
      <w:pPr>
        <w:pStyle w:val="CETBodytext"/>
        <w:rPr>
          <w:lang w:val="en-GB"/>
        </w:rPr>
      </w:pPr>
    </w:p>
    <w:p w14:paraId="3BC0E887" w14:textId="35C794BB" w:rsidR="006F2807" w:rsidRPr="00DC61C3" w:rsidRDefault="006F2807" w:rsidP="00EE2B91">
      <w:pPr>
        <w:pStyle w:val="CETBodytext"/>
        <w:rPr>
          <w:i/>
          <w:lang w:val="en-GB"/>
        </w:rPr>
      </w:pPr>
      <w:r w:rsidRPr="00DC61C3">
        <w:rPr>
          <w:i/>
          <w:lang w:val="en-GB"/>
        </w:rPr>
        <w:t>Table 1. H</w:t>
      </w:r>
      <w:r w:rsidRPr="00DC61C3">
        <w:rPr>
          <w:i/>
          <w:vertAlign w:val="subscript"/>
          <w:lang w:val="en-GB"/>
        </w:rPr>
        <w:t>2</w:t>
      </w:r>
      <w:r w:rsidRPr="00DC61C3">
        <w:rPr>
          <w:i/>
          <w:lang w:val="en-GB"/>
        </w:rPr>
        <w:t>S concentrations (</w:t>
      </w:r>
      <w:r w:rsidRPr="00DC61C3">
        <w:rPr>
          <w:rFonts w:cs="Arial"/>
          <w:i/>
          <w:lang w:val="en-GB"/>
        </w:rPr>
        <w:t>µ</w:t>
      </w:r>
      <w:r w:rsidRPr="00DC61C3">
        <w:rPr>
          <w:i/>
          <w:lang w:val="en-GB"/>
        </w:rPr>
        <w:t>g m</w:t>
      </w:r>
      <w:r w:rsidRPr="00DC61C3">
        <w:rPr>
          <w:i/>
          <w:vertAlign w:val="superscript"/>
          <w:lang w:val="en-GB"/>
        </w:rPr>
        <w:t>-3</w:t>
      </w:r>
      <w:r w:rsidRPr="00DC61C3">
        <w:rPr>
          <w:i/>
          <w:lang w:val="en-GB"/>
        </w:rPr>
        <w:t xml:space="preserve">) </w:t>
      </w:r>
      <w:r w:rsidR="00DC61C3">
        <w:rPr>
          <w:i/>
          <w:lang w:val="en-GB"/>
        </w:rPr>
        <w:t xml:space="preserve">and </w:t>
      </w:r>
      <w:r w:rsidR="00DC61C3" w:rsidRPr="00DC61C3">
        <w:rPr>
          <w:i/>
          <w:lang w:val="en-GB"/>
        </w:rPr>
        <w:t xml:space="preserve">Odour units (O.U.) </w:t>
      </w:r>
      <w:r w:rsidRPr="00DC61C3">
        <w:rPr>
          <w:i/>
          <w:lang w:val="en-GB"/>
        </w:rPr>
        <w:t>at the different evaluated sampling points of the leachate basin.</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843"/>
        <w:gridCol w:w="882"/>
        <w:gridCol w:w="819"/>
        <w:gridCol w:w="819"/>
        <w:gridCol w:w="819"/>
      </w:tblGrid>
      <w:tr w:rsidR="00DC61C3" w:rsidRPr="00DC61C3" w14:paraId="4B7D42FB" w14:textId="3B3D7270" w:rsidTr="00DC61C3">
        <w:tc>
          <w:tcPr>
            <w:tcW w:w="1843" w:type="dxa"/>
            <w:vMerge w:val="restart"/>
            <w:tcBorders>
              <w:top w:val="single" w:sz="12" w:space="0" w:color="008000"/>
            </w:tcBorders>
            <w:shd w:val="clear" w:color="auto" w:fill="FFFFFF"/>
          </w:tcPr>
          <w:p w14:paraId="5F0E2AE7" w14:textId="3BE300B8" w:rsidR="00DC61C3" w:rsidRPr="00DC61C3" w:rsidRDefault="00DC61C3" w:rsidP="00DC61C3">
            <w:pPr>
              <w:pStyle w:val="CETBodytext"/>
              <w:rPr>
                <w:lang w:val="en-GB"/>
              </w:rPr>
            </w:pPr>
            <w:r w:rsidRPr="00DC61C3">
              <w:rPr>
                <w:lang w:val="en-GB"/>
              </w:rPr>
              <w:t>Control point</w:t>
            </w:r>
          </w:p>
        </w:tc>
        <w:tc>
          <w:tcPr>
            <w:tcW w:w="882" w:type="dxa"/>
            <w:tcBorders>
              <w:top w:val="single" w:sz="12" w:space="0" w:color="008000"/>
              <w:bottom w:val="single" w:sz="6" w:space="0" w:color="008000"/>
            </w:tcBorders>
            <w:shd w:val="clear" w:color="auto" w:fill="FFFFFF"/>
          </w:tcPr>
          <w:p w14:paraId="3D90D661" w14:textId="6AD3C780" w:rsidR="00DC61C3" w:rsidRPr="00DC61C3" w:rsidRDefault="00DC61C3" w:rsidP="00DC61C3">
            <w:pPr>
              <w:pStyle w:val="CETBodytext"/>
              <w:jc w:val="center"/>
              <w:rPr>
                <w:lang w:val="en-GB"/>
              </w:rPr>
            </w:pPr>
            <w:r w:rsidRPr="00DC61C3">
              <w:rPr>
                <w:lang w:val="en-GB"/>
              </w:rPr>
              <w:t>2020</w:t>
            </w:r>
          </w:p>
        </w:tc>
        <w:tc>
          <w:tcPr>
            <w:tcW w:w="819" w:type="dxa"/>
            <w:tcBorders>
              <w:top w:val="single" w:sz="12" w:space="0" w:color="008000"/>
              <w:bottom w:val="single" w:sz="6" w:space="0" w:color="008000"/>
              <w:right w:val="single" w:sz="4" w:space="0" w:color="auto"/>
            </w:tcBorders>
            <w:shd w:val="clear" w:color="auto" w:fill="FFFFFF"/>
          </w:tcPr>
          <w:p w14:paraId="04D6C75B" w14:textId="15AF4BBB" w:rsidR="00DC61C3" w:rsidRPr="00DC61C3" w:rsidRDefault="00DC61C3" w:rsidP="00DC61C3">
            <w:pPr>
              <w:pStyle w:val="CETBodytext"/>
              <w:jc w:val="center"/>
              <w:rPr>
                <w:lang w:val="en-GB"/>
              </w:rPr>
            </w:pPr>
            <w:r w:rsidRPr="00DC61C3">
              <w:rPr>
                <w:lang w:val="en-GB"/>
              </w:rPr>
              <w:t>2020</w:t>
            </w:r>
          </w:p>
        </w:tc>
        <w:tc>
          <w:tcPr>
            <w:tcW w:w="819" w:type="dxa"/>
            <w:tcBorders>
              <w:top w:val="single" w:sz="12" w:space="0" w:color="008000"/>
              <w:left w:val="single" w:sz="4" w:space="0" w:color="auto"/>
              <w:bottom w:val="single" w:sz="6" w:space="0" w:color="008000"/>
            </w:tcBorders>
            <w:shd w:val="clear" w:color="auto" w:fill="FFFFFF"/>
          </w:tcPr>
          <w:p w14:paraId="787D27BE" w14:textId="117407DD" w:rsidR="00DC61C3" w:rsidRPr="00DC61C3" w:rsidRDefault="00DC61C3" w:rsidP="00DC61C3">
            <w:pPr>
              <w:pStyle w:val="CETBodytext"/>
              <w:jc w:val="center"/>
              <w:rPr>
                <w:lang w:val="en-GB"/>
              </w:rPr>
            </w:pPr>
            <w:r w:rsidRPr="00DC61C3">
              <w:rPr>
                <w:lang w:val="en-GB"/>
              </w:rPr>
              <w:t>2025</w:t>
            </w:r>
          </w:p>
        </w:tc>
        <w:tc>
          <w:tcPr>
            <w:tcW w:w="819" w:type="dxa"/>
            <w:tcBorders>
              <w:top w:val="single" w:sz="12" w:space="0" w:color="008000"/>
              <w:bottom w:val="single" w:sz="6" w:space="0" w:color="008000"/>
            </w:tcBorders>
            <w:shd w:val="clear" w:color="auto" w:fill="FFFFFF"/>
          </w:tcPr>
          <w:p w14:paraId="03C9A885" w14:textId="3AA92F45" w:rsidR="00DC61C3" w:rsidRPr="00DC61C3" w:rsidRDefault="00DC61C3" w:rsidP="00DC61C3">
            <w:pPr>
              <w:pStyle w:val="CETBodytext"/>
              <w:jc w:val="center"/>
              <w:rPr>
                <w:lang w:val="en-GB"/>
              </w:rPr>
            </w:pPr>
            <w:r w:rsidRPr="00DC61C3">
              <w:rPr>
                <w:lang w:val="en-GB"/>
              </w:rPr>
              <w:t>2025</w:t>
            </w:r>
          </w:p>
        </w:tc>
      </w:tr>
      <w:tr w:rsidR="00DC61C3" w:rsidRPr="00DC61C3" w14:paraId="3B45DEFB" w14:textId="49E92240" w:rsidTr="00DC61C3">
        <w:tc>
          <w:tcPr>
            <w:tcW w:w="1843" w:type="dxa"/>
            <w:vMerge/>
            <w:tcBorders>
              <w:bottom w:val="single" w:sz="4" w:space="0" w:color="auto"/>
            </w:tcBorders>
            <w:shd w:val="clear" w:color="auto" w:fill="FFFFFF"/>
          </w:tcPr>
          <w:p w14:paraId="1F7F85A1" w14:textId="44B86284" w:rsidR="00DC61C3" w:rsidRPr="00DC61C3" w:rsidRDefault="00DC61C3" w:rsidP="00DC61C3">
            <w:pPr>
              <w:pStyle w:val="CETBodytext"/>
              <w:rPr>
                <w:lang w:val="en-GB"/>
              </w:rPr>
            </w:pPr>
          </w:p>
        </w:tc>
        <w:tc>
          <w:tcPr>
            <w:tcW w:w="882" w:type="dxa"/>
            <w:tcBorders>
              <w:top w:val="single" w:sz="6" w:space="0" w:color="008000"/>
              <w:bottom w:val="single" w:sz="4" w:space="0" w:color="auto"/>
            </w:tcBorders>
            <w:shd w:val="clear" w:color="auto" w:fill="FFFFFF"/>
          </w:tcPr>
          <w:p w14:paraId="7A364149" w14:textId="5DD9896C" w:rsidR="00DC61C3" w:rsidRPr="00DC61C3" w:rsidRDefault="00DC61C3" w:rsidP="00DC61C3">
            <w:pPr>
              <w:pStyle w:val="CETBodytext"/>
              <w:jc w:val="center"/>
              <w:rPr>
                <w:lang w:val="en-GB"/>
              </w:rPr>
            </w:pPr>
            <w:r w:rsidRPr="00DC61C3">
              <w:rPr>
                <w:rFonts w:cs="Arial"/>
                <w:lang w:val="en-GB"/>
              </w:rPr>
              <w:t>µ</w:t>
            </w:r>
            <w:r w:rsidRPr="00DC61C3">
              <w:rPr>
                <w:lang w:val="en-GB"/>
              </w:rPr>
              <w:t>g m</w:t>
            </w:r>
            <w:r w:rsidRPr="00DC61C3">
              <w:rPr>
                <w:vertAlign w:val="superscript"/>
                <w:lang w:val="en-GB"/>
              </w:rPr>
              <w:t>-3</w:t>
            </w:r>
          </w:p>
        </w:tc>
        <w:tc>
          <w:tcPr>
            <w:tcW w:w="819" w:type="dxa"/>
            <w:tcBorders>
              <w:top w:val="single" w:sz="6" w:space="0" w:color="008000"/>
              <w:bottom w:val="single" w:sz="4" w:space="0" w:color="auto"/>
              <w:right w:val="single" w:sz="4" w:space="0" w:color="auto"/>
            </w:tcBorders>
            <w:shd w:val="clear" w:color="auto" w:fill="FFFFFF"/>
          </w:tcPr>
          <w:p w14:paraId="334E9314" w14:textId="00F9035A" w:rsidR="00DC61C3" w:rsidRPr="00DC61C3" w:rsidRDefault="00DC61C3" w:rsidP="00DC61C3">
            <w:pPr>
              <w:pStyle w:val="CETBodytext"/>
              <w:jc w:val="center"/>
              <w:rPr>
                <w:rFonts w:cs="Arial"/>
                <w:lang w:val="en-GB"/>
              </w:rPr>
            </w:pPr>
            <w:r w:rsidRPr="00DC61C3">
              <w:rPr>
                <w:rFonts w:cs="Arial"/>
                <w:lang w:val="en-GB"/>
              </w:rPr>
              <w:t>O.U.</w:t>
            </w:r>
          </w:p>
        </w:tc>
        <w:tc>
          <w:tcPr>
            <w:tcW w:w="819" w:type="dxa"/>
            <w:tcBorders>
              <w:top w:val="single" w:sz="6" w:space="0" w:color="008000"/>
              <w:left w:val="single" w:sz="4" w:space="0" w:color="auto"/>
              <w:bottom w:val="single" w:sz="4" w:space="0" w:color="auto"/>
            </w:tcBorders>
            <w:shd w:val="clear" w:color="auto" w:fill="FFFFFF"/>
          </w:tcPr>
          <w:p w14:paraId="0E737885" w14:textId="5DFCB7CE" w:rsidR="00DC61C3" w:rsidRPr="00DC61C3" w:rsidRDefault="00DC61C3" w:rsidP="00DC61C3">
            <w:pPr>
              <w:pStyle w:val="CETBodytext"/>
              <w:jc w:val="center"/>
              <w:rPr>
                <w:lang w:val="en-GB"/>
              </w:rPr>
            </w:pPr>
            <w:r w:rsidRPr="00DC61C3">
              <w:rPr>
                <w:rFonts w:cs="Arial"/>
                <w:lang w:val="en-GB"/>
              </w:rPr>
              <w:t>µ</w:t>
            </w:r>
            <w:r w:rsidRPr="00DC61C3">
              <w:rPr>
                <w:lang w:val="en-GB"/>
              </w:rPr>
              <w:t>g m</w:t>
            </w:r>
            <w:r w:rsidRPr="00DC61C3">
              <w:rPr>
                <w:vertAlign w:val="superscript"/>
                <w:lang w:val="en-GB"/>
              </w:rPr>
              <w:t>-3</w:t>
            </w:r>
          </w:p>
        </w:tc>
        <w:tc>
          <w:tcPr>
            <w:tcW w:w="819" w:type="dxa"/>
            <w:tcBorders>
              <w:top w:val="single" w:sz="6" w:space="0" w:color="008000"/>
              <w:bottom w:val="single" w:sz="4" w:space="0" w:color="auto"/>
            </w:tcBorders>
            <w:shd w:val="clear" w:color="auto" w:fill="FFFFFF"/>
          </w:tcPr>
          <w:p w14:paraId="0196136C" w14:textId="07873380" w:rsidR="00DC61C3" w:rsidRPr="00DC61C3" w:rsidRDefault="00DC61C3" w:rsidP="00DC61C3">
            <w:pPr>
              <w:pStyle w:val="CETBodytext"/>
              <w:jc w:val="center"/>
              <w:rPr>
                <w:rFonts w:cs="Arial"/>
                <w:lang w:val="en-GB"/>
              </w:rPr>
            </w:pPr>
            <w:r w:rsidRPr="00DC61C3">
              <w:rPr>
                <w:rFonts w:cs="Arial"/>
                <w:lang w:val="en-GB"/>
              </w:rPr>
              <w:t>O.U.</w:t>
            </w:r>
          </w:p>
        </w:tc>
      </w:tr>
      <w:tr w:rsidR="00DC61C3" w:rsidRPr="00DC61C3" w14:paraId="4469151E" w14:textId="48EF9C60" w:rsidTr="00DC61C3">
        <w:tc>
          <w:tcPr>
            <w:tcW w:w="1843" w:type="dxa"/>
            <w:tcBorders>
              <w:top w:val="single" w:sz="4" w:space="0" w:color="auto"/>
            </w:tcBorders>
            <w:shd w:val="clear" w:color="auto" w:fill="FFFFFF"/>
          </w:tcPr>
          <w:p w14:paraId="02881C21" w14:textId="1AD4CB9A" w:rsidR="00DC61C3" w:rsidRPr="00DC61C3" w:rsidRDefault="00DC61C3" w:rsidP="00DC61C3">
            <w:pPr>
              <w:pStyle w:val="CETBodytext"/>
              <w:ind w:right="-1"/>
              <w:rPr>
                <w:rFonts w:cs="Arial"/>
                <w:szCs w:val="18"/>
                <w:lang w:val="en-GB"/>
              </w:rPr>
            </w:pPr>
            <w:r w:rsidRPr="00DC61C3">
              <w:rPr>
                <w:rFonts w:cs="Arial"/>
                <w:szCs w:val="18"/>
                <w:lang w:val="en-GB"/>
              </w:rPr>
              <w:t>Leachate basin P1</w:t>
            </w:r>
          </w:p>
        </w:tc>
        <w:tc>
          <w:tcPr>
            <w:tcW w:w="882" w:type="dxa"/>
            <w:tcBorders>
              <w:top w:val="single" w:sz="4" w:space="0" w:color="auto"/>
            </w:tcBorders>
            <w:shd w:val="clear" w:color="auto" w:fill="FFFFFF"/>
          </w:tcPr>
          <w:p w14:paraId="3AABC267" w14:textId="152C6A97" w:rsidR="00DC61C3" w:rsidRPr="00DC61C3" w:rsidRDefault="00DC61C3" w:rsidP="00DC61C3">
            <w:pPr>
              <w:pStyle w:val="CETBodytext"/>
              <w:ind w:right="-1"/>
              <w:jc w:val="center"/>
              <w:rPr>
                <w:rFonts w:cs="Arial"/>
                <w:szCs w:val="18"/>
                <w:lang w:val="en-GB"/>
              </w:rPr>
            </w:pPr>
            <w:r w:rsidRPr="00DC61C3">
              <w:rPr>
                <w:rFonts w:cs="Arial"/>
                <w:szCs w:val="18"/>
                <w:lang w:val="en-GB"/>
              </w:rPr>
              <w:t>1127</w:t>
            </w:r>
          </w:p>
        </w:tc>
        <w:tc>
          <w:tcPr>
            <w:tcW w:w="819" w:type="dxa"/>
            <w:tcBorders>
              <w:top w:val="single" w:sz="4" w:space="0" w:color="auto"/>
              <w:right w:val="single" w:sz="4" w:space="0" w:color="auto"/>
            </w:tcBorders>
            <w:shd w:val="clear" w:color="auto" w:fill="FFFFFF"/>
          </w:tcPr>
          <w:p w14:paraId="4360908C" w14:textId="6C0252EF" w:rsidR="00DC61C3" w:rsidRPr="00DC61C3" w:rsidRDefault="00DC61C3" w:rsidP="00DC61C3">
            <w:pPr>
              <w:pStyle w:val="CETBodytext"/>
              <w:ind w:right="-1"/>
              <w:jc w:val="center"/>
              <w:rPr>
                <w:rFonts w:cs="Arial"/>
                <w:szCs w:val="18"/>
                <w:lang w:val="en-GB"/>
              </w:rPr>
            </w:pPr>
            <w:r w:rsidRPr="00DC61C3">
              <w:rPr>
                <w:rFonts w:cs="Arial"/>
                <w:szCs w:val="18"/>
                <w:lang w:val="en-GB"/>
              </w:rPr>
              <w:t>1609</w:t>
            </w:r>
          </w:p>
        </w:tc>
        <w:tc>
          <w:tcPr>
            <w:tcW w:w="819" w:type="dxa"/>
            <w:tcBorders>
              <w:top w:val="single" w:sz="4" w:space="0" w:color="auto"/>
              <w:left w:val="single" w:sz="4" w:space="0" w:color="auto"/>
            </w:tcBorders>
            <w:shd w:val="clear" w:color="auto" w:fill="FFFFFF"/>
          </w:tcPr>
          <w:p w14:paraId="6A4DCDE6" w14:textId="5F3B4161" w:rsidR="00DC61C3" w:rsidRPr="00DC61C3" w:rsidRDefault="00DC61C3" w:rsidP="00DC61C3">
            <w:pPr>
              <w:pStyle w:val="CETBodytext"/>
              <w:ind w:right="-1"/>
              <w:jc w:val="center"/>
              <w:rPr>
                <w:rFonts w:cs="Arial"/>
                <w:szCs w:val="18"/>
                <w:lang w:val="en-GB"/>
              </w:rPr>
            </w:pPr>
            <w:r w:rsidRPr="00DC61C3">
              <w:rPr>
                <w:rFonts w:cs="Arial"/>
                <w:szCs w:val="18"/>
                <w:lang w:val="en-GB"/>
              </w:rPr>
              <w:t>129 ± 13</w:t>
            </w:r>
          </w:p>
        </w:tc>
        <w:tc>
          <w:tcPr>
            <w:tcW w:w="819" w:type="dxa"/>
            <w:tcBorders>
              <w:top w:val="single" w:sz="4" w:space="0" w:color="auto"/>
            </w:tcBorders>
            <w:shd w:val="clear" w:color="auto" w:fill="FFFFFF"/>
          </w:tcPr>
          <w:p w14:paraId="73567C16" w14:textId="68CF6946" w:rsidR="00DC61C3" w:rsidRPr="00DC61C3" w:rsidRDefault="00DC61C3" w:rsidP="00DC61C3">
            <w:pPr>
              <w:pStyle w:val="CETBodytext"/>
              <w:ind w:right="-1"/>
              <w:jc w:val="center"/>
              <w:rPr>
                <w:rFonts w:cs="Arial"/>
                <w:szCs w:val="18"/>
                <w:lang w:val="en-GB"/>
              </w:rPr>
            </w:pPr>
            <w:r w:rsidRPr="00DC61C3">
              <w:rPr>
                <w:rFonts w:cs="Arial"/>
                <w:szCs w:val="18"/>
                <w:lang w:val="en-GB"/>
              </w:rPr>
              <w:t>184 ± 20</w:t>
            </w:r>
          </w:p>
        </w:tc>
      </w:tr>
      <w:tr w:rsidR="00DC61C3" w:rsidRPr="00DC61C3" w14:paraId="1B0812D5" w14:textId="0D81C34F" w:rsidTr="00DC61C3">
        <w:tc>
          <w:tcPr>
            <w:tcW w:w="1843" w:type="dxa"/>
            <w:shd w:val="clear" w:color="auto" w:fill="FFFFFF"/>
          </w:tcPr>
          <w:p w14:paraId="1DA93F81" w14:textId="712EC9A7" w:rsidR="00DC61C3" w:rsidRPr="00DC61C3" w:rsidRDefault="00DC61C3" w:rsidP="00DC61C3">
            <w:pPr>
              <w:pStyle w:val="CETBodytext"/>
              <w:ind w:right="-1"/>
              <w:rPr>
                <w:rFonts w:cs="Arial"/>
                <w:szCs w:val="18"/>
                <w:lang w:val="en-GB"/>
              </w:rPr>
            </w:pPr>
            <w:r w:rsidRPr="00DC61C3">
              <w:rPr>
                <w:rFonts w:cs="Arial"/>
                <w:szCs w:val="18"/>
                <w:lang w:val="en-GB"/>
              </w:rPr>
              <w:t>Leachate basin P2</w:t>
            </w:r>
          </w:p>
        </w:tc>
        <w:tc>
          <w:tcPr>
            <w:tcW w:w="882" w:type="dxa"/>
            <w:shd w:val="clear" w:color="auto" w:fill="FFFFFF"/>
          </w:tcPr>
          <w:p w14:paraId="00F6027F" w14:textId="42BC75FE" w:rsidR="00DC61C3" w:rsidRPr="00DC61C3" w:rsidRDefault="00DC61C3" w:rsidP="00DC61C3">
            <w:pPr>
              <w:pStyle w:val="CETBodytext"/>
              <w:ind w:right="-1"/>
              <w:jc w:val="center"/>
              <w:rPr>
                <w:rFonts w:cs="Arial"/>
                <w:szCs w:val="18"/>
                <w:lang w:val="en-GB"/>
              </w:rPr>
            </w:pPr>
            <w:r w:rsidRPr="00DC61C3">
              <w:rPr>
                <w:rFonts w:cs="Arial"/>
                <w:szCs w:val="18"/>
                <w:lang w:val="en-GB"/>
              </w:rPr>
              <w:t>946</w:t>
            </w:r>
          </w:p>
        </w:tc>
        <w:tc>
          <w:tcPr>
            <w:tcW w:w="819" w:type="dxa"/>
            <w:tcBorders>
              <w:right w:val="single" w:sz="4" w:space="0" w:color="auto"/>
            </w:tcBorders>
            <w:shd w:val="clear" w:color="auto" w:fill="FFFFFF"/>
          </w:tcPr>
          <w:p w14:paraId="1E74E868" w14:textId="3034805B" w:rsidR="00DC61C3" w:rsidRPr="00DC61C3" w:rsidRDefault="00DC61C3" w:rsidP="00DC61C3">
            <w:pPr>
              <w:pStyle w:val="CETBodytext"/>
              <w:ind w:right="-1"/>
              <w:jc w:val="center"/>
              <w:rPr>
                <w:rFonts w:cs="Arial"/>
                <w:szCs w:val="18"/>
                <w:lang w:val="en-GB"/>
              </w:rPr>
            </w:pPr>
            <w:r w:rsidRPr="00DC61C3">
              <w:rPr>
                <w:rFonts w:cs="Arial"/>
                <w:szCs w:val="18"/>
                <w:lang w:val="en-GB"/>
              </w:rPr>
              <w:t>1351</w:t>
            </w:r>
          </w:p>
        </w:tc>
        <w:tc>
          <w:tcPr>
            <w:tcW w:w="819" w:type="dxa"/>
            <w:tcBorders>
              <w:left w:val="single" w:sz="4" w:space="0" w:color="auto"/>
            </w:tcBorders>
            <w:shd w:val="clear" w:color="auto" w:fill="FFFFFF"/>
          </w:tcPr>
          <w:p w14:paraId="78CA7250" w14:textId="0B626C79" w:rsidR="00DC61C3" w:rsidRPr="00DC61C3" w:rsidRDefault="00DC61C3" w:rsidP="00DC61C3">
            <w:pPr>
              <w:pStyle w:val="CETBodytext"/>
              <w:ind w:right="-1"/>
              <w:jc w:val="center"/>
              <w:rPr>
                <w:rFonts w:cs="Arial"/>
                <w:szCs w:val="18"/>
                <w:lang w:val="en-GB"/>
              </w:rPr>
            </w:pPr>
            <w:r w:rsidRPr="00DC61C3">
              <w:rPr>
                <w:rFonts w:cs="Arial"/>
                <w:szCs w:val="18"/>
                <w:lang w:val="en-GB"/>
              </w:rPr>
              <w:t>121 ± 2</w:t>
            </w:r>
          </w:p>
        </w:tc>
        <w:tc>
          <w:tcPr>
            <w:tcW w:w="819" w:type="dxa"/>
            <w:shd w:val="clear" w:color="auto" w:fill="FFFFFF"/>
          </w:tcPr>
          <w:p w14:paraId="439F373F" w14:textId="78068FF9" w:rsidR="00DC61C3" w:rsidRPr="00DC61C3" w:rsidRDefault="00DC61C3" w:rsidP="00DC61C3">
            <w:pPr>
              <w:pStyle w:val="CETBodytext"/>
              <w:ind w:right="-1"/>
              <w:jc w:val="center"/>
              <w:rPr>
                <w:rFonts w:cs="Arial"/>
                <w:szCs w:val="18"/>
                <w:lang w:val="en-GB"/>
              </w:rPr>
            </w:pPr>
            <w:r w:rsidRPr="00DC61C3">
              <w:rPr>
                <w:rFonts w:cs="Arial"/>
                <w:szCs w:val="18"/>
                <w:lang w:val="en-GB"/>
              </w:rPr>
              <w:t>173 ± 4</w:t>
            </w:r>
          </w:p>
        </w:tc>
      </w:tr>
      <w:tr w:rsidR="00DC61C3" w:rsidRPr="00DC61C3" w14:paraId="07D721DC" w14:textId="7FEAA3A2" w:rsidTr="00DC61C3">
        <w:tc>
          <w:tcPr>
            <w:tcW w:w="1843" w:type="dxa"/>
            <w:shd w:val="clear" w:color="auto" w:fill="FFFFFF"/>
          </w:tcPr>
          <w:p w14:paraId="1FC72DCE" w14:textId="2EFC14A4" w:rsidR="00DC61C3" w:rsidRPr="00DC61C3" w:rsidRDefault="00DC61C3" w:rsidP="00DC61C3">
            <w:pPr>
              <w:pStyle w:val="CETBodytext"/>
              <w:ind w:right="-1"/>
              <w:rPr>
                <w:rFonts w:cs="Arial"/>
                <w:szCs w:val="18"/>
                <w:lang w:val="en-GB"/>
              </w:rPr>
            </w:pPr>
            <w:r w:rsidRPr="00DC61C3">
              <w:rPr>
                <w:rFonts w:cs="Arial"/>
                <w:szCs w:val="18"/>
                <w:lang w:val="en-GB"/>
              </w:rPr>
              <w:t>Leachate basin P3</w:t>
            </w:r>
          </w:p>
        </w:tc>
        <w:tc>
          <w:tcPr>
            <w:tcW w:w="882" w:type="dxa"/>
            <w:shd w:val="clear" w:color="auto" w:fill="FFFFFF"/>
          </w:tcPr>
          <w:p w14:paraId="3734F9B3" w14:textId="0BF3877B" w:rsidR="00DC61C3" w:rsidRPr="00DC61C3" w:rsidRDefault="00DC61C3" w:rsidP="00DC61C3">
            <w:pPr>
              <w:pStyle w:val="CETBodytext"/>
              <w:ind w:right="-1"/>
              <w:jc w:val="center"/>
              <w:rPr>
                <w:rFonts w:cs="Arial"/>
                <w:szCs w:val="18"/>
                <w:lang w:val="en-GB"/>
              </w:rPr>
            </w:pPr>
            <w:r w:rsidRPr="00DC61C3">
              <w:rPr>
                <w:rFonts w:cs="Arial"/>
                <w:szCs w:val="18"/>
                <w:lang w:val="en-GB"/>
              </w:rPr>
              <w:t>791</w:t>
            </w:r>
          </w:p>
        </w:tc>
        <w:tc>
          <w:tcPr>
            <w:tcW w:w="819" w:type="dxa"/>
            <w:tcBorders>
              <w:right w:val="single" w:sz="4" w:space="0" w:color="auto"/>
            </w:tcBorders>
            <w:shd w:val="clear" w:color="auto" w:fill="FFFFFF"/>
          </w:tcPr>
          <w:p w14:paraId="7AE044A4" w14:textId="692CE6DE" w:rsidR="00DC61C3" w:rsidRPr="00DC61C3" w:rsidRDefault="00DC61C3" w:rsidP="00DC61C3">
            <w:pPr>
              <w:pStyle w:val="CETBodytext"/>
              <w:ind w:right="-1"/>
              <w:jc w:val="center"/>
              <w:rPr>
                <w:rFonts w:cs="Arial"/>
                <w:szCs w:val="18"/>
                <w:lang w:val="en-GB"/>
              </w:rPr>
            </w:pPr>
            <w:r w:rsidRPr="00DC61C3">
              <w:rPr>
                <w:rFonts w:cs="Arial"/>
                <w:szCs w:val="18"/>
                <w:lang w:val="en-GB"/>
              </w:rPr>
              <w:t>1129</w:t>
            </w:r>
          </w:p>
        </w:tc>
        <w:tc>
          <w:tcPr>
            <w:tcW w:w="819" w:type="dxa"/>
            <w:tcBorders>
              <w:left w:val="single" w:sz="4" w:space="0" w:color="auto"/>
              <w:bottom w:val="single" w:sz="12" w:space="0" w:color="008000"/>
            </w:tcBorders>
            <w:shd w:val="clear" w:color="auto" w:fill="FFFFFF"/>
          </w:tcPr>
          <w:p w14:paraId="065C14E8" w14:textId="3531352C" w:rsidR="00DC61C3" w:rsidRPr="00DC61C3" w:rsidRDefault="00DC61C3" w:rsidP="00DC61C3">
            <w:pPr>
              <w:pStyle w:val="CETBodytext"/>
              <w:ind w:right="-1"/>
              <w:jc w:val="center"/>
              <w:rPr>
                <w:rFonts w:cs="Arial"/>
                <w:szCs w:val="18"/>
                <w:lang w:val="en-GB"/>
              </w:rPr>
            </w:pPr>
            <w:r w:rsidRPr="00DC61C3">
              <w:rPr>
                <w:rFonts w:cs="Arial"/>
                <w:szCs w:val="18"/>
                <w:lang w:val="en-GB"/>
              </w:rPr>
              <w:t>101 ± 15</w:t>
            </w:r>
          </w:p>
        </w:tc>
        <w:tc>
          <w:tcPr>
            <w:tcW w:w="819" w:type="dxa"/>
            <w:shd w:val="clear" w:color="auto" w:fill="FFFFFF"/>
          </w:tcPr>
          <w:p w14:paraId="6AE6C441" w14:textId="2ECE32BA" w:rsidR="00DC61C3" w:rsidRPr="00DC61C3" w:rsidRDefault="00DC61C3" w:rsidP="00DC61C3">
            <w:pPr>
              <w:pStyle w:val="CETBodytext"/>
              <w:ind w:right="-1"/>
              <w:jc w:val="center"/>
              <w:rPr>
                <w:rFonts w:cs="Arial"/>
                <w:szCs w:val="18"/>
                <w:lang w:val="en-GB"/>
              </w:rPr>
            </w:pPr>
            <w:r w:rsidRPr="00DC61C3">
              <w:rPr>
                <w:rFonts w:cs="Arial"/>
                <w:szCs w:val="18"/>
                <w:lang w:val="en-GB"/>
              </w:rPr>
              <w:t>143 ± 21</w:t>
            </w:r>
          </w:p>
        </w:tc>
      </w:tr>
    </w:tbl>
    <w:p w14:paraId="75F8994B" w14:textId="77777777" w:rsidR="006F2807" w:rsidRPr="00DC61C3" w:rsidRDefault="006F2807" w:rsidP="00EE2B91">
      <w:pPr>
        <w:pStyle w:val="CETBodytext"/>
        <w:rPr>
          <w:lang w:val="en-GB"/>
        </w:rPr>
      </w:pPr>
    </w:p>
    <w:p w14:paraId="0A48F56B" w14:textId="3B0D2836" w:rsidR="00FF2165" w:rsidRDefault="00D97EDE" w:rsidP="00FF2165">
      <w:pPr>
        <w:pStyle w:val="CETBodytext"/>
        <w:rPr>
          <w:lang w:val="en-GB"/>
        </w:rPr>
      </w:pPr>
      <w:r w:rsidRPr="00DC61C3">
        <w:rPr>
          <w:lang w:val="en-GB"/>
        </w:rPr>
        <w:t>Applying the odour threshold to transform concentrations into odour units, t</w:t>
      </w:r>
      <w:r w:rsidR="00FF2165" w:rsidRPr="00DC61C3">
        <w:rPr>
          <w:lang w:val="en-GB"/>
        </w:rPr>
        <w:t>he results show that H</w:t>
      </w:r>
      <w:r w:rsidR="00FF2165" w:rsidRPr="00DC61C3">
        <w:rPr>
          <w:vertAlign w:val="subscript"/>
          <w:lang w:val="en-GB"/>
        </w:rPr>
        <w:t>2</w:t>
      </w:r>
      <w:r w:rsidR="00FF2165" w:rsidRPr="00DC61C3">
        <w:rPr>
          <w:lang w:val="en-GB"/>
        </w:rPr>
        <w:t xml:space="preserve">S </w:t>
      </w:r>
      <w:r w:rsidRPr="00DC61C3">
        <w:rPr>
          <w:lang w:val="en-GB"/>
        </w:rPr>
        <w:t xml:space="preserve">O.U. </w:t>
      </w:r>
      <w:r w:rsidR="00FF2165" w:rsidRPr="00DC61C3">
        <w:rPr>
          <w:lang w:val="en-GB"/>
        </w:rPr>
        <w:t>with</w:t>
      </w:r>
      <w:r w:rsidR="00DC61C3">
        <w:rPr>
          <w:lang w:val="en-GB"/>
        </w:rPr>
        <w:t xml:space="preserve">out the installed cover </w:t>
      </w:r>
      <w:r w:rsidR="003B72CD">
        <w:rPr>
          <w:lang w:val="en-GB"/>
        </w:rPr>
        <w:t xml:space="preserve">system </w:t>
      </w:r>
      <w:r w:rsidR="00DC61C3">
        <w:rPr>
          <w:lang w:val="en-GB"/>
        </w:rPr>
        <w:t xml:space="preserve">presented an average value of 1363 </w:t>
      </w:r>
      <w:r w:rsidR="00DC61C3">
        <w:rPr>
          <w:rFonts w:cs="Arial"/>
          <w:lang w:val="en-GB"/>
        </w:rPr>
        <w:t>±</w:t>
      </w:r>
      <w:r w:rsidR="00DC61C3">
        <w:rPr>
          <w:lang w:val="en-GB"/>
        </w:rPr>
        <w:t xml:space="preserve"> 240 O.U, while with</w:t>
      </w:r>
      <w:r w:rsidR="00FF2165" w:rsidRPr="00DC61C3">
        <w:rPr>
          <w:lang w:val="en-GB"/>
        </w:rPr>
        <w:t xml:space="preserve"> the installed covering system odour units </w:t>
      </w:r>
      <w:r w:rsidR="00DC61C3">
        <w:rPr>
          <w:lang w:val="en-GB"/>
        </w:rPr>
        <w:t xml:space="preserve">decreased to 167 </w:t>
      </w:r>
      <w:r w:rsidR="00DC61C3">
        <w:rPr>
          <w:rFonts w:cs="Arial"/>
          <w:lang w:val="en-GB"/>
        </w:rPr>
        <w:t>±</w:t>
      </w:r>
      <w:r w:rsidR="00DC61C3">
        <w:rPr>
          <w:lang w:val="en-GB"/>
        </w:rPr>
        <w:t xml:space="preserve"> 23 O.U.</w:t>
      </w:r>
      <w:r w:rsidR="00FF2165" w:rsidRPr="00DC61C3">
        <w:rPr>
          <w:lang w:val="en-GB"/>
        </w:rPr>
        <w:t xml:space="preserve"> </w:t>
      </w:r>
      <w:r w:rsidR="00DC61C3">
        <w:rPr>
          <w:lang w:val="en-GB"/>
        </w:rPr>
        <w:t>(</w:t>
      </w:r>
      <w:r w:rsidR="00FF2165" w:rsidRPr="00DC61C3">
        <w:rPr>
          <w:lang w:val="en-GB"/>
        </w:rPr>
        <w:t>128-198 O.U.</w:t>
      </w:r>
      <w:r w:rsidR="00DC61C3">
        <w:rPr>
          <w:lang w:val="en-GB"/>
        </w:rPr>
        <w:t>).</w:t>
      </w:r>
    </w:p>
    <w:p w14:paraId="02CC763D" w14:textId="6500C1EC" w:rsidR="002C58DC" w:rsidRPr="00DC61C3" w:rsidRDefault="002C58DC" w:rsidP="00FF2165">
      <w:pPr>
        <w:pStyle w:val="CETBodytext"/>
        <w:rPr>
          <w:lang w:val="en-GB"/>
        </w:rPr>
      </w:pPr>
      <w:r>
        <w:rPr>
          <w:lang w:val="en-GB"/>
        </w:rPr>
        <w:t xml:space="preserve">It has to be </w:t>
      </w:r>
      <w:r w:rsidR="003242BA">
        <w:rPr>
          <w:lang w:val="en-GB"/>
        </w:rPr>
        <w:t>acknowledged</w:t>
      </w:r>
      <w:r>
        <w:rPr>
          <w:lang w:val="en-GB"/>
        </w:rPr>
        <w:t xml:space="preserve"> that the sampling campaigns were not conducted in the same months</w:t>
      </w:r>
      <w:r w:rsidR="0035782B">
        <w:rPr>
          <w:lang w:val="en-GB"/>
        </w:rPr>
        <w:t xml:space="preserve"> of the year</w:t>
      </w:r>
      <w:r w:rsidR="003242BA">
        <w:rPr>
          <w:lang w:val="en-GB"/>
        </w:rPr>
        <w:t>.</w:t>
      </w:r>
      <w:r>
        <w:rPr>
          <w:lang w:val="en-GB"/>
        </w:rPr>
        <w:t xml:space="preserve"> </w:t>
      </w:r>
      <w:bookmarkStart w:id="2" w:name="_Hlk231201231"/>
      <w:r w:rsidR="0035782B">
        <w:rPr>
          <w:lang w:val="en-GB"/>
        </w:rPr>
        <w:t>D</w:t>
      </w:r>
      <w:r>
        <w:rPr>
          <w:lang w:val="en-GB"/>
        </w:rPr>
        <w:t>ifferent temperature and humidity</w:t>
      </w:r>
      <w:r w:rsidR="00FE68F9">
        <w:rPr>
          <w:lang w:val="en-GB"/>
        </w:rPr>
        <w:t xml:space="preserve"> parameters</w:t>
      </w:r>
      <w:r>
        <w:rPr>
          <w:lang w:val="en-GB"/>
        </w:rPr>
        <w:t xml:space="preserve"> can </w:t>
      </w:r>
      <w:r w:rsidR="00FE68F9">
        <w:rPr>
          <w:lang w:val="en-GB"/>
        </w:rPr>
        <w:t>influence seasonal H</w:t>
      </w:r>
      <w:r w:rsidR="00FE68F9" w:rsidRPr="00FE68F9">
        <w:rPr>
          <w:vertAlign w:val="subscript"/>
          <w:lang w:val="en-GB"/>
        </w:rPr>
        <w:t>2</w:t>
      </w:r>
      <w:r w:rsidR="00FE68F9">
        <w:rPr>
          <w:lang w:val="en-GB"/>
        </w:rPr>
        <w:t>S emissions (Hassan et al., 2025)</w:t>
      </w:r>
      <w:r w:rsidR="003242BA">
        <w:rPr>
          <w:lang w:val="en-GB"/>
        </w:rPr>
        <w:t xml:space="preserve">, independently of the coverage used to reduce leachate odorous </w:t>
      </w:r>
      <w:r w:rsidR="007B1664">
        <w:rPr>
          <w:lang w:val="en-GB"/>
        </w:rPr>
        <w:t>flows</w:t>
      </w:r>
      <w:r w:rsidR="00FE68F9">
        <w:rPr>
          <w:lang w:val="en-GB"/>
        </w:rPr>
        <w:t>.</w:t>
      </w:r>
      <w:r w:rsidR="0035782B">
        <w:rPr>
          <w:lang w:val="en-GB"/>
        </w:rPr>
        <w:t xml:space="preserve"> </w:t>
      </w:r>
      <w:r w:rsidR="006D6920" w:rsidRPr="006D6920">
        <w:rPr>
          <w:lang w:val="en-GB"/>
        </w:rPr>
        <w:t>A difference of 6°C was observed between the average temperatures recorded during the two campaigns, with higher temperatures measured in the 2020 campaign, consistent with higher H</w:t>
      </w:r>
      <w:r w:rsidR="006D6920" w:rsidRPr="006D6920">
        <w:rPr>
          <w:rFonts w:ascii="Cambria Math" w:hAnsi="Cambria Math" w:cs="Cambria Math"/>
          <w:lang w:val="en-GB"/>
        </w:rPr>
        <w:t>₂</w:t>
      </w:r>
      <w:r w:rsidR="006D6920" w:rsidRPr="006D6920">
        <w:rPr>
          <w:lang w:val="en-GB"/>
        </w:rPr>
        <w:t xml:space="preserve">S concentrations </w:t>
      </w:r>
      <w:r w:rsidR="002A6EA6">
        <w:rPr>
          <w:lang w:val="en-GB"/>
        </w:rPr>
        <w:t>expected</w:t>
      </w:r>
      <w:r w:rsidR="006D6920" w:rsidRPr="006D6920">
        <w:rPr>
          <w:lang w:val="en-GB"/>
        </w:rPr>
        <w:t xml:space="preserve"> at </w:t>
      </w:r>
      <w:r w:rsidR="002A6EA6">
        <w:rPr>
          <w:lang w:val="en-GB"/>
        </w:rPr>
        <w:t>higher</w:t>
      </w:r>
      <w:r w:rsidR="006D6920" w:rsidRPr="006D6920">
        <w:rPr>
          <w:lang w:val="en-GB"/>
        </w:rPr>
        <w:t xml:space="preserve"> temperatures</w:t>
      </w:r>
      <w:r w:rsidR="002A6EA6">
        <w:rPr>
          <w:lang w:val="en-GB"/>
        </w:rPr>
        <w:t xml:space="preserve"> </w:t>
      </w:r>
      <w:bookmarkStart w:id="3" w:name="_GoBack"/>
      <w:bookmarkEnd w:id="3"/>
      <w:r w:rsidR="007B1664">
        <w:rPr>
          <w:lang w:val="en-GB"/>
        </w:rPr>
        <w:t>(Zheng et al., 2021)</w:t>
      </w:r>
      <w:r w:rsidR="0035782B">
        <w:rPr>
          <w:lang w:val="en-GB"/>
        </w:rPr>
        <w:t>.</w:t>
      </w:r>
      <w:bookmarkEnd w:id="2"/>
    </w:p>
    <w:p w14:paraId="792A0500" w14:textId="6188CB58" w:rsidR="00D97EDE" w:rsidRPr="00DC61C3" w:rsidRDefault="00D97EDE" w:rsidP="00D97EDE">
      <w:pPr>
        <w:pStyle w:val="CETheadingx"/>
        <w:rPr>
          <w:lang w:val="en-GB"/>
        </w:rPr>
      </w:pPr>
      <w:r w:rsidRPr="00DC61C3">
        <w:rPr>
          <w:lang w:val="en-GB"/>
        </w:rPr>
        <w:t>Impact reduction in the leachate basins</w:t>
      </w:r>
    </w:p>
    <w:p w14:paraId="77C5B64C" w14:textId="20F597D4" w:rsidR="00D97EDE" w:rsidRPr="00DC61C3" w:rsidRDefault="00D97EDE" w:rsidP="00D97EDE">
      <w:pPr>
        <w:pStyle w:val="CETBodytext"/>
        <w:rPr>
          <w:lang w:val="en-GB"/>
        </w:rPr>
      </w:pPr>
      <w:r w:rsidRPr="00DC61C3">
        <w:rPr>
          <w:lang w:val="en-GB"/>
        </w:rPr>
        <w:t xml:space="preserve">Given that meteorological conditions—particularly temperature and humidity—can influence the volatilization of compounds, emission factors for </w:t>
      </w:r>
      <w:r w:rsidR="00611194">
        <w:rPr>
          <w:lang w:val="en-GB"/>
        </w:rPr>
        <w:t xml:space="preserve">2020 and </w:t>
      </w:r>
      <w:r w:rsidRPr="00DC61C3">
        <w:rPr>
          <w:lang w:val="en-GB"/>
        </w:rPr>
        <w:t xml:space="preserve">2025 were calculated using the specific meteorological data recorded during </w:t>
      </w:r>
      <w:r w:rsidR="00611194">
        <w:rPr>
          <w:lang w:val="en-GB"/>
        </w:rPr>
        <w:t xml:space="preserve">each </w:t>
      </w:r>
      <w:r w:rsidRPr="00DC61C3">
        <w:rPr>
          <w:lang w:val="en-GB"/>
        </w:rPr>
        <w:t>sampling period, in order to enable a robust comparison of the reduction in impact.</w:t>
      </w:r>
    </w:p>
    <w:p w14:paraId="035D51A1" w14:textId="2E113D25" w:rsidR="00E4662C" w:rsidRPr="00DC61C3" w:rsidRDefault="00E4662C" w:rsidP="00E4662C">
      <w:pPr>
        <w:pStyle w:val="CETBodytext"/>
        <w:rPr>
          <w:lang w:val="en-GB"/>
        </w:rPr>
      </w:pPr>
    </w:p>
    <w:p w14:paraId="66637BFF" w14:textId="0BC889DF" w:rsidR="00E4662C" w:rsidRPr="00DC61C3" w:rsidRDefault="00E4662C" w:rsidP="00E4662C">
      <w:pPr>
        <w:pStyle w:val="CETBodytext"/>
        <w:rPr>
          <w:lang w:val="en-GB"/>
        </w:rPr>
      </w:pPr>
      <w:r w:rsidRPr="00DC61C3">
        <w:rPr>
          <w:noProof/>
          <w:lang w:val="en-GB"/>
        </w:rPr>
        <w:drawing>
          <wp:inline distT="0" distB="0" distL="0" distR="0" wp14:anchorId="2424D469" wp14:editId="0C662FAB">
            <wp:extent cx="3135085" cy="3128809"/>
            <wp:effectExtent l="0" t="0" r="8255"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3763" cy="3197350"/>
                    </a:xfrm>
                    <a:prstGeom prst="rect">
                      <a:avLst/>
                    </a:prstGeom>
                    <a:noFill/>
                    <a:ln>
                      <a:noFill/>
                    </a:ln>
                  </pic:spPr>
                </pic:pic>
              </a:graphicData>
            </a:graphic>
          </wp:inline>
        </w:drawing>
      </w:r>
    </w:p>
    <w:p w14:paraId="2EA57E16" w14:textId="63EBEF13" w:rsidR="00E4662C" w:rsidRPr="00DC61C3" w:rsidRDefault="00E4662C" w:rsidP="00E4662C">
      <w:pPr>
        <w:pStyle w:val="CETBodytext"/>
        <w:rPr>
          <w:i/>
          <w:lang w:val="en-GB"/>
        </w:rPr>
      </w:pPr>
      <w:r w:rsidRPr="00DC61C3">
        <w:rPr>
          <w:i/>
          <w:lang w:val="en-GB"/>
        </w:rPr>
        <w:t xml:space="preserve">Figure </w:t>
      </w:r>
      <w:r w:rsidR="0027790B">
        <w:rPr>
          <w:i/>
          <w:lang w:val="en-GB"/>
        </w:rPr>
        <w:t>2</w:t>
      </w:r>
      <w:r w:rsidRPr="00DC61C3">
        <w:rPr>
          <w:i/>
          <w:lang w:val="en-GB"/>
        </w:rPr>
        <w:t xml:space="preserve">. Leachate basin 2020 impact map. Theoretical concentrations obtained through the mathematical model assuming a typical theoretical emission flow rate. Colour code shows relative concentrations: red colour, higher concentration; blue colour, lower concentration. (Figure previously published in Gallego E., Perales J.F., </w:t>
      </w:r>
      <w:proofErr w:type="spellStart"/>
      <w:r w:rsidRPr="00DC61C3">
        <w:rPr>
          <w:i/>
          <w:lang w:val="en-GB"/>
        </w:rPr>
        <w:t>Aguasca</w:t>
      </w:r>
      <w:proofErr w:type="spellEnd"/>
      <w:r w:rsidRPr="00DC61C3">
        <w:rPr>
          <w:i/>
          <w:lang w:val="en-GB"/>
        </w:rPr>
        <w:t xml:space="preserve"> N., Domínguez R., 2024. Determination of emission factors from a landfill through an inverse methodology: Experimental determination of ambient air concentrations and use of numerical modelling, Environmental Pollution, 351, 124047.</w:t>
      </w:r>
    </w:p>
    <w:p w14:paraId="0B446A70" w14:textId="71FD0669" w:rsidR="00D97EDE" w:rsidRDefault="00D97EDE" w:rsidP="00FF2165">
      <w:pPr>
        <w:pStyle w:val="CETBodytext"/>
        <w:rPr>
          <w:lang w:val="en-GB"/>
        </w:rPr>
      </w:pPr>
    </w:p>
    <w:p w14:paraId="7B31BC0D" w14:textId="77777777" w:rsidR="007B1664" w:rsidRPr="00DC61C3" w:rsidRDefault="007B1664" w:rsidP="007B1664">
      <w:pPr>
        <w:pStyle w:val="CETBodytext"/>
        <w:rPr>
          <w:lang w:val="en-GB"/>
        </w:rPr>
      </w:pPr>
      <w:r w:rsidRPr="00DC61C3">
        <w:rPr>
          <w:lang w:val="en-GB"/>
        </w:rPr>
        <w:t xml:space="preserve">Applying the methodology described above, emission rates from the leachate basin for 2025, when the basin was covered, were determined using atmospheric dispersion modelling, and compared with the results obtained </w:t>
      </w:r>
      <w:r w:rsidRPr="00DC61C3">
        <w:rPr>
          <w:lang w:val="en-GB"/>
        </w:rPr>
        <w:lastRenderedPageBreak/>
        <w:t>in 2020, when the basin was uncovered</w:t>
      </w:r>
      <w:r>
        <w:rPr>
          <w:lang w:val="en-GB"/>
        </w:rPr>
        <w:t xml:space="preserve"> (Gallego et al., 2024)</w:t>
      </w:r>
      <w:r w:rsidRPr="00DC61C3">
        <w:rPr>
          <w:lang w:val="en-GB"/>
        </w:rPr>
        <w:t>. The application of the obtained results led to a slightly lower reduction than that calculated directly using the measured concentrations. The resulting value for the reduction in emissions using this indirect methodology was 86.2%.</w:t>
      </w:r>
    </w:p>
    <w:p w14:paraId="12EBCD5A" w14:textId="5ADC1904" w:rsidR="007B1664" w:rsidRDefault="007B1664" w:rsidP="007B1664">
      <w:pPr>
        <w:pStyle w:val="CETBodytext"/>
        <w:rPr>
          <w:lang w:val="en-GB"/>
        </w:rPr>
      </w:pPr>
      <w:r w:rsidRPr="00DC61C3">
        <w:rPr>
          <w:lang w:val="en-GB"/>
        </w:rPr>
        <w:t xml:space="preserve">Impact maps obtained with the mathematical model for the 2020 and 2025 are presented in Figures </w:t>
      </w:r>
      <w:r>
        <w:rPr>
          <w:lang w:val="en-GB"/>
        </w:rPr>
        <w:t>2</w:t>
      </w:r>
      <w:r w:rsidRPr="00DC61C3">
        <w:rPr>
          <w:lang w:val="en-GB"/>
        </w:rPr>
        <w:t xml:space="preserve"> and </w:t>
      </w:r>
      <w:r>
        <w:rPr>
          <w:lang w:val="en-GB"/>
        </w:rPr>
        <w:t>3</w:t>
      </w:r>
      <w:r w:rsidRPr="00DC61C3">
        <w:rPr>
          <w:lang w:val="en-GB"/>
        </w:rPr>
        <w:t>. Note that colours show relative concentrations, as the absolute values depend on the emission flows. As previously said, only changes in H</w:t>
      </w:r>
      <w:r w:rsidRPr="00DC61C3">
        <w:rPr>
          <w:vertAlign w:val="subscript"/>
          <w:lang w:val="en-GB"/>
        </w:rPr>
        <w:t>2</w:t>
      </w:r>
      <w:r w:rsidRPr="00DC61C3">
        <w:rPr>
          <w:lang w:val="en-GB"/>
        </w:rPr>
        <w:t>S emission concentrations were considered regarding the impact maps, VOCs and NH</w:t>
      </w:r>
      <w:r w:rsidRPr="00DC61C3">
        <w:rPr>
          <w:vertAlign w:val="subscript"/>
          <w:lang w:val="en-GB"/>
        </w:rPr>
        <w:t>3</w:t>
      </w:r>
      <w:r w:rsidRPr="00DC61C3">
        <w:rPr>
          <w:lang w:val="en-GB"/>
        </w:rPr>
        <w:t xml:space="preserve"> emission concentrations were considered equal to 2020.</w:t>
      </w:r>
    </w:p>
    <w:p w14:paraId="48B89C4C" w14:textId="77777777" w:rsidR="007B1664" w:rsidRPr="00DC61C3" w:rsidRDefault="007B1664" w:rsidP="007B1664">
      <w:pPr>
        <w:pStyle w:val="CETBodytext"/>
        <w:rPr>
          <w:lang w:val="en-GB"/>
        </w:rPr>
      </w:pPr>
    </w:p>
    <w:p w14:paraId="3F736830" w14:textId="11DD2A56" w:rsidR="00E4662C" w:rsidRPr="00DC61C3" w:rsidRDefault="00E4662C" w:rsidP="00FF2165">
      <w:pPr>
        <w:pStyle w:val="CETBodytext"/>
        <w:rPr>
          <w:i/>
          <w:lang w:val="en-GB"/>
        </w:rPr>
      </w:pPr>
      <w:r w:rsidRPr="00DC61C3">
        <w:rPr>
          <w:noProof/>
          <w:lang w:val="en-GB"/>
        </w:rPr>
        <w:drawing>
          <wp:inline distT="0" distB="0" distL="0" distR="0" wp14:anchorId="22CF79E0" wp14:editId="47F8398D">
            <wp:extent cx="3125013" cy="3118757"/>
            <wp:effectExtent l="0" t="0" r="0" b="5715"/>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2845" cy="3176473"/>
                    </a:xfrm>
                    <a:prstGeom prst="rect">
                      <a:avLst/>
                    </a:prstGeom>
                    <a:noFill/>
                    <a:ln>
                      <a:noFill/>
                    </a:ln>
                  </pic:spPr>
                </pic:pic>
              </a:graphicData>
            </a:graphic>
          </wp:inline>
        </w:drawing>
      </w:r>
    </w:p>
    <w:p w14:paraId="4CD3B084" w14:textId="3DB1E561" w:rsidR="00FF2165" w:rsidRPr="00DC61C3" w:rsidRDefault="00E4662C" w:rsidP="00FF2165">
      <w:pPr>
        <w:pStyle w:val="CETBodytext"/>
        <w:rPr>
          <w:lang w:val="en-GB"/>
        </w:rPr>
      </w:pPr>
      <w:r w:rsidRPr="00DC61C3">
        <w:rPr>
          <w:i/>
          <w:lang w:val="en-GB"/>
        </w:rPr>
        <w:t xml:space="preserve">Figure </w:t>
      </w:r>
      <w:r w:rsidR="0027790B">
        <w:rPr>
          <w:i/>
          <w:lang w:val="en-GB"/>
        </w:rPr>
        <w:t>3</w:t>
      </w:r>
      <w:r w:rsidRPr="00DC61C3">
        <w:rPr>
          <w:i/>
          <w:lang w:val="en-GB"/>
        </w:rPr>
        <w:t>. Leachate basin 2025 impact map. Theoretical concentrations obtained through the mathematical model assuming a typical theoretical emission flow rate. Colour code shows relative concentrations: red colour, higher concentration; blue colour, lower concentration.</w:t>
      </w:r>
    </w:p>
    <w:p w14:paraId="3CBD8B4A" w14:textId="77777777" w:rsidR="004721A1" w:rsidRDefault="004721A1" w:rsidP="005319B2">
      <w:pPr>
        <w:pStyle w:val="CETHeading1"/>
        <w:numPr>
          <w:ilvl w:val="0"/>
          <w:numId w:val="0"/>
        </w:numPr>
        <w:tabs>
          <w:tab w:val="num" w:pos="360"/>
        </w:tabs>
        <w:spacing w:before="0" w:after="0" w:line="264" w:lineRule="auto"/>
        <w:jc w:val="both"/>
        <w:rPr>
          <w:b w:val="0"/>
          <w:sz w:val="18"/>
          <w:szCs w:val="18"/>
          <w:lang w:val="en-GB"/>
        </w:rPr>
      </w:pPr>
    </w:p>
    <w:p w14:paraId="519B1CDF" w14:textId="05021A74" w:rsidR="00F404F0" w:rsidRPr="005319B2" w:rsidRDefault="005319B2" w:rsidP="005319B2">
      <w:pPr>
        <w:pStyle w:val="CETHeading1"/>
        <w:numPr>
          <w:ilvl w:val="0"/>
          <w:numId w:val="0"/>
        </w:numPr>
        <w:tabs>
          <w:tab w:val="num" w:pos="360"/>
        </w:tabs>
        <w:spacing w:before="0" w:after="0" w:line="264" w:lineRule="auto"/>
        <w:jc w:val="both"/>
        <w:rPr>
          <w:b w:val="0"/>
          <w:sz w:val="18"/>
          <w:szCs w:val="18"/>
          <w:lang w:val="en-GB"/>
        </w:rPr>
      </w:pPr>
      <w:r w:rsidRPr="005319B2">
        <w:rPr>
          <w:b w:val="0"/>
          <w:sz w:val="18"/>
          <w:szCs w:val="18"/>
          <w:lang w:val="en-GB"/>
        </w:rPr>
        <w:t xml:space="preserve">As </w:t>
      </w:r>
      <w:r>
        <w:rPr>
          <w:b w:val="0"/>
          <w:sz w:val="18"/>
          <w:szCs w:val="18"/>
          <w:lang w:val="en-GB"/>
        </w:rPr>
        <w:t>illustrated by the previous figures</w:t>
      </w:r>
      <w:r w:rsidRPr="005319B2">
        <w:rPr>
          <w:b w:val="0"/>
          <w:sz w:val="18"/>
          <w:szCs w:val="18"/>
          <w:lang w:val="en-GB"/>
        </w:rPr>
        <w:t>, the implemented leachate basin covering system has demonstrated effective performance in reducing odorous emissions, particularly those associated with H</w:t>
      </w:r>
      <w:r w:rsidRPr="005319B2">
        <w:rPr>
          <w:rFonts w:ascii="Cambria Math" w:hAnsi="Cambria Math" w:cs="Cambria Math"/>
          <w:b w:val="0"/>
          <w:sz w:val="18"/>
          <w:szCs w:val="18"/>
          <w:lang w:val="en-GB"/>
        </w:rPr>
        <w:t>₂</w:t>
      </w:r>
      <w:r w:rsidRPr="005319B2">
        <w:rPr>
          <w:b w:val="0"/>
          <w:sz w:val="18"/>
          <w:szCs w:val="18"/>
          <w:lang w:val="en-GB"/>
        </w:rPr>
        <w:t>S generated at the landfill. These findings support the adoption of this site-specific mitigation measure as a sustainable and socially acceptable approach to landfill management</w:t>
      </w:r>
      <w:r>
        <w:rPr>
          <w:b w:val="0"/>
          <w:sz w:val="18"/>
          <w:szCs w:val="18"/>
          <w:lang w:val="en-GB"/>
        </w:rPr>
        <w:t xml:space="preserve"> (</w:t>
      </w:r>
      <w:proofErr w:type="spellStart"/>
      <w:r>
        <w:rPr>
          <w:b w:val="0"/>
          <w:sz w:val="18"/>
          <w:szCs w:val="18"/>
          <w:lang w:val="en-GB"/>
        </w:rPr>
        <w:t>Lakhouit</w:t>
      </w:r>
      <w:proofErr w:type="spellEnd"/>
      <w:r>
        <w:rPr>
          <w:b w:val="0"/>
          <w:sz w:val="18"/>
          <w:szCs w:val="18"/>
          <w:lang w:val="en-GB"/>
        </w:rPr>
        <w:t>, 2026)</w:t>
      </w:r>
      <w:r w:rsidRPr="005319B2">
        <w:rPr>
          <w:b w:val="0"/>
          <w:sz w:val="18"/>
          <w:szCs w:val="18"/>
          <w:lang w:val="en-GB"/>
        </w:rPr>
        <w:t>.</w:t>
      </w:r>
    </w:p>
    <w:p w14:paraId="4C22A15E" w14:textId="29DAFFFC" w:rsidR="00E4662C" w:rsidRPr="00DC61C3" w:rsidRDefault="00E4662C" w:rsidP="00E4662C">
      <w:pPr>
        <w:pStyle w:val="CETHeading1"/>
        <w:rPr>
          <w:lang w:val="en-GB"/>
        </w:rPr>
      </w:pPr>
      <w:r w:rsidRPr="00DC61C3">
        <w:rPr>
          <w:lang w:val="en-GB"/>
        </w:rPr>
        <w:t>Conclusions</w:t>
      </w:r>
    </w:p>
    <w:p w14:paraId="57C18E23" w14:textId="7B5AE171" w:rsidR="00E4662C" w:rsidRPr="00DC61C3" w:rsidRDefault="00B7045E" w:rsidP="005319B2">
      <w:pPr>
        <w:pStyle w:val="CETBodytext"/>
        <w:rPr>
          <w:lang w:val="en-GB"/>
        </w:rPr>
      </w:pPr>
      <w:r w:rsidRPr="00DC61C3">
        <w:rPr>
          <w:lang w:val="en-GB"/>
        </w:rPr>
        <w:t>The implementation of hexagonal-shaped HDPE cover elements in the leachate reservoir of the Can Mata landfill has demonstrated a highly effective reduction in odorous emissions</w:t>
      </w:r>
      <w:r w:rsidR="007D05FF" w:rsidRPr="00DC61C3">
        <w:rPr>
          <w:lang w:val="en-GB"/>
        </w:rPr>
        <w:t>. An 87.7% reduction in H</w:t>
      </w:r>
      <w:r w:rsidR="007D05FF" w:rsidRPr="00DC61C3">
        <w:rPr>
          <w:vertAlign w:val="subscript"/>
          <w:lang w:val="en-GB"/>
        </w:rPr>
        <w:t>2</w:t>
      </w:r>
      <w:r w:rsidR="007D05FF" w:rsidRPr="00DC61C3">
        <w:rPr>
          <w:lang w:val="en-GB"/>
        </w:rPr>
        <w:t>S concentrations has been observed between July 2020 and September 2025. Atmospheric dispersion modelling using TAPM, incorporating site-specific meteorological conditions, confirmed the effectiveness of the mitigation measure, yielding a consistent reduction in emissions of 86.2%. The agreement between measured concentrations and modelled emission reductions supports the robustness of the applied methodology and highlights the importance of accounting for meteorological variability in impact assessments.</w:t>
      </w:r>
    </w:p>
    <w:p w14:paraId="6887A55C" w14:textId="0FE0826C" w:rsidR="007D05FF" w:rsidRPr="00DC61C3" w:rsidRDefault="007D05FF" w:rsidP="005319B2">
      <w:pPr>
        <w:pStyle w:val="CETBodytext"/>
        <w:rPr>
          <w:lang w:val="en-GB"/>
        </w:rPr>
      </w:pPr>
      <w:r w:rsidRPr="00DC61C3">
        <w:rPr>
          <w:lang w:val="en-GB"/>
        </w:rPr>
        <w:t>Overall, the results demonstrate that hexagonal HDPE covering systems are an efficient and reliable solution for significantly reducing H</w:t>
      </w:r>
      <w:r w:rsidRPr="00DC61C3">
        <w:rPr>
          <w:rFonts w:ascii="Cambria Math" w:hAnsi="Cambria Math" w:cs="Cambria Math"/>
          <w:lang w:val="en-GB"/>
        </w:rPr>
        <w:t>₂</w:t>
      </w:r>
      <w:r w:rsidRPr="00DC61C3">
        <w:rPr>
          <w:lang w:val="en-GB"/>
        </w:rPr>
        <w:t>S emissions and associated odour nuisance from landfill leachate reservoirs. This approach represents a valuable mitigation strategy for improving environmental performance and minimizing the impact of landfill operations on surrounding areas.</w:t>
      </w:r>
    </w:p>
    <w:p w14:paraId="459D05E6" w14:textId="77777777" w:rsidR="00600535" w:rsidRPr="00DC61C3" w:rsidRDefault="00600535" w:rsidP="00600535">
      <w:pPr>
        <w:pStyle w:val="CETAcknowledgementstitle"/>
      </w:pPr>
      <w:r w:rsidRPr="00DC61C3">
        <w:t>Acknowledgments</w:t>
      </w:r>
    </w:p>
    <w:p w14:paraId="6AD8B347" w14:textId="1C9709C3" w:rsidR="00986E19" w:rsidRPr="00DC61C3" w:rsidRDefault="00986E19" w:rsidP="00600535">
      <w:pPr>
        <w:pStyle w:val="CETBodytext"/>
        <w:rPr>
          <w:lang w:val="en-GB"/>
        </w:rPr>
      </w:pPr>
      <w:r w:rsidRPr="00DC61C3">
        <w:rPr>
          <w:lang w:val="en-GB"/>
        </w:rPr>
        <w:t>This work was supported by the Technical support agreement C-</w:t>
      </w:r>
      <w:r w:rsidR="009D0CE4" w:rsidRPr="00DC61C3">
        <w:rPr>
          <w:lang w:val="en-GB"/>
        </w:rPr>
        <w:t>13278</w:t>
      </w:r>
      <w:r w:rsidRPr="00DC61C3">
        <w:rPr>
          <w:lang w:val="en-GB"/>
        </w:rPr>
        <w:t xml:space="preserve"> between UPC and </w:t>
      </w:r>
      <w:proofErr w:type="spellStart"/>
      <w:r w:rsidRPr="00DC61C3">
        <w:rPr>
          <w:lang w:val="en-GB"/>
        </w:rPr>
        <w:t>Prezero</w:t>
      </w:r>
      <w:proofErr w:type="spellEnd"/>
      <w:r w:rsidRPr="00DC61C3">
        <w:rPr>
          <w:lang w:val="en-GB"/>
        </w:rPr>
        <w:t xml:space="preserve"> </w:t>
      </w:r>
      <w:proofErr w:type="spellStart"/>
      <w:r w:rsidRPr="00DC61C3">
        <w:rPr>
          <w:lang w:val="en-GB"/>
        </w:rPr>
        <w:t>Gesti</w:t>
      </w:r>
      <w:r w:rsidR="009D0CE4" w:rsidRPr="00DC61C3">
        <w:rPr>
          <w:lang w:val="en-GB"/>
        </w:rPr>
        <w:t>ó</w:t>
      </w:r>
      <w:r w:rsidRPr="00DC61C3">
        <w:rPr>
          <w:lang w:val="en-GB"/>
        </w:rPr>
        <w:t>n</w:t>
      </w:r>
      <w:proofErr w:type="spellEnd"/>
      <w:r w:rsidRPr="00DC61C3">
        <w:rPr>
          <w:lang w:val="en-GB"/>
        </w:rPr>
        <w:t xml:space="preserve"> de </w:t>
      </w:r>
      <w:proofErr w:type="spellStart"/>
      <w:r w:rsidRPr="00DC61C3">
        <w:rPr>
          <w:lang w:val="en-GB"/>
        </w:rPr>
        <w:t>Residuos</w:t>
      </w:r>
      <w:proofErr w:type="spellEnd"/>
      <w:r w:rsidRPr="00DC61C3">
        <w:rPr>
          <w:lang w:val="en-GB"/>
        </w:rPr>
        <w:t>.</w:t>
      </w:r>
    </w:p>
    <w:p w14:paraId="44A493DE" w14:textId="77777777" w:rsidR="002760BB" w:rsidRDefault="002760BB" w:rsidP="00600535">
      <w:pPr>
        <w:pStyle w:val="CETReference"/>
      </w:pPr>
    </w:p>
    <w:p w14:paraId="4F1327F8" w14:textId="2DF5AAC2" w:rsidR="00600535" w:rsidRPr="00DC61C3" w:rsidRDefault="00600535" w:rsidP="00600535">
      <w:pPr>
        <w:pStyle w:val="CETReference"/>
      </w:pPr>
      <w:r w:rsidRPr="00DC61C3">
        <w:lastRenderedPageBreak/>
        <w:t>References</w:t>
      </w:r>
    </w:p>
    <w:p w14:paraId="1FEC895D" w14:textId="653784D5" w:rsidR="00184A2B" w:rsidRPr="00DC61C3" w:rsidRDefault="00184A2B" w:rsidP="00184A2B">
      <w:pPr>
        <w:pStyle w:val="CETReferencetext"/>
      </w:pPr>
      <w:r w:rsidRPr="00DC61C3">
        <w:t xml:space="preserve">AIHA (American Industrial Hygiene Association), 2013. </w:t>
      </w:r>
      <w:proofErr w:type="spellStart"/>
      <w:r w:rsidRPr="00DC61C3">
        <w:t>Odor</w:t>
      </w:r>
      <w:proofErr w:type="spellEnd"/>
      <w:r w:rsidRPr="00DC61C3">
        <w:t xml:space="preserve"> Thresholds for Chemicals with Established Occupational Health Standards. USA.</w:t>
      </w:r>
    </w:p>
    <w:p w14:paraId="75500CC0" w14:textId="08FAFAE6" w:rsidR="00195AD5" w:rsidRDefault="00195AD5" w:rsidP="00195AD5">
      <w:pPr>
        <w:pStyle w:val="CETReferencetext"/>
      </w:pPr>
      <w:proofErr w:type="spellStart"/>
      <w:r>
        <w:t>D’Aoust</w:t>
      </w:r>
      <w:proofErr w:type="spellEnd"/>
      <w:r>
        <w:t xml:space="preserve"> P.M., </w:t>
      </w:r>
      <w:proofErr w:type="spellStart"/>
      <w:r>
        <w:t>Szulc</w:t>
      </w:r>
      <w:proofErr w:type="spellEnd"/>
      <w:r>
        <w:t xml:space="preserve"> P.J., </w:t>
      </w:r>
      <w:proofErr w:type="spellStart"/>
      <w:r>
        <w:t>Houweling</w:t>
      </w:r>
      <w:proofErr w:type="spellEnd"/>
      <w:r>
        <w:t xml:space="preserve"> D., 2026. Evaluating hydrogen </w:t>
      </w:r>
      <w:proofErr w:type="spellStart"/>
      <w:r>
        <w:t>sulfide</w:t>
      </w:r>
      <w:proofErr w:type="spellEnd"/>
      <w:r>
        <w:t xml:space="preserve"> removal from municipal landfill leachate using a venturi stripping system, Waste Management, 211, 115288.</w:t>
      </w:r>
    </w:p>
    <w:p w14:paraId="7074EF10" w14:textId="66FF904F" w:rsidR="003C5426" w:rsidRPr="00DC61C3" w:rsidRDefault="003C5426" w:rsidP="00C24AF1">
      <w:pPr>
        <w:pStyle w:val="CETReferencetext"/>
      </w:pPr>
      <w:r w:rsidRPr="00DC61C3">
        <w:t>Galleg</w:t>
      </w:r>
      <w:r w:rsidR="00D05F55" w:rsidRPr="00DC61C3">
        <w:t>o</w:t>
      </w:r>
      <w:r w:rsidRPr="00DC61C3">
        <w:t xml:space="preserve"> E., Perales J.F., </w:t>
      </w:r>
      <w:proofErr w:type="spellStart"/>
      <w:r w:rsidRPr="00DC61C3">
        <w:t>Aguasca</w:t>
      </w:r>
      <w:proofErr w:type="spellEnd"/>
      <w:r w:rsidRPr="00DC61C3">
        <w:t xml:space="preserve"> N., Domínguez, R., 2024</w:t>
      </w:r>
      <w:r w:rsidR="0043494C" w:rsidRPr="00DC61C3">
        <w:t>,</w:t>
      </w:r>
      <w:r w:rsidRPr="00DC61C3">
        <w:t xml:space="preserve"> Determination of emission factors from a landfill through an inverse methodology: Experimental determination of ambient air concentrations and use of numerical modelling</w:t>
      </w:r>
      <w:r w:rsidR="0043494C" w:rsidRPr="00DC61C3">
        <w:t>,</w:t>
      </w:r>
      <w:r w:rsidRPr="00DC61C3">
        <w:t xml:space="preserve"> Environ</w:t>
      </w:r>
      <w:r w:rsidR="0043494C" w:rsidRPr="00DC61C3">
        <w:t>mental</w:t>
      </w:r>
      <w:r w:rsidRPr="00DC61C3">
        <w:t xml:space="preserve"> Poll</w:t>
      </w:r>
      <w:r w:rsidR="0043494C" w:rsidRPr="00DC61C3">
        <w:t>ution,</w:t>
      </w:r>
      <w:r w:rsidRPr="00DC61C3">
        <w:t xml:space="preserve"> 351, 124047.</w:t>
      </w:r>
    </w:p>
    <w:p w14:paraId="49E6E6A2" w14:textId="43B5636E" w:rsidR="00FE68F9" w:rsidRDefault="00FE68F9" w:rsidP="00FE68F9">
      <w:pPr>
        <w:pStyle w:val="CETReferencetext"/>
      </w:pPr>
      <w:r>
        <w:t xml:space="preserve">Hassan S.Z., Sun P.P., Chen J., </w:t>
      </w:r>
      <w:proofErr w:type="spellStart"/>
      <w:r>
        <w:t>Reinart</w:t>
      </w:r>
      <w:proofErr w:type="spellEnd"/>
      <w:r>
        <w:t xml:space="preserve"> D., 2025. A review of landfill </w:t>
      </w:r>
      <w:proofErr w:type="spellStart"/>
      <w:r>
        <w:t>odors</w:t>
      </w:r>
      <w:proofErr w:type="spellEnd"/>
      <w:r>
        <w:t xml:space="preserve"> assessment: Advancing from stationary measurement to spatiotemporal monitoring. Waste Management 206, 115086.</w:t>
      </w:r>
    </w:p>
    <w:p w14:paraId="085D5F29" w14:textId="0463D1E1" w:rsidR="00283756" w:rsidRPr="00DC61C3" w:rsidRDefault="00283756" w:rsidP="00283756">
      <w:pPr>
        <w:pStyle w:val="CETReferencetext"/>
      </w:pPr>
      <w:r w:rsidRPr="00DC61C3">
        <w:t>Hurley P.J., 2005. The Air Pollution Model (TAPM) Version 3. Part 1: Technical Description, vol. 330. CSIRO Atmospheric Research, Australia.</w:t>
      </w:r>
    </w:p>
    <w:p w14:paraId="655E581E" w14:textId="187AD084" w:rsidR="009D3440" w:rsidRPr="009D3440" w:rsidRDefault="009D3440" w:rsidP="00B5027D">
      <w:pPr>
        <w:pStyle w:val="CETReferencetext"/>
      </w:pPr>
      <w:proofErr w:type="spellStart"/>
      <w:r w:rsidRPr="009D3440">
        <w:t>Izady</w:t>
      </w:r>
      <w:proofErr w:type="spellEnd"/>
      <w:r w:rsidRPr="009D3440">
        <w:t xml:space="preserve"> A., Al-</w:t>
      </w:r>
      <w:proofErr w:type="spellStart"/>
      <w:r w:rsidRPr="009D3440">
        <w:t>Maktoumi</w:t>
      </w:r>
      <w:proofErr w:type="spellEnd"/>
      <w:r w:rsidRPr="009D3440">
        <w:t xml:space="preserve"> A., Chen M., Al-</w:t>
      </w:r>
      <w:proofErr w:type="spellStart"/>
      <w:r w:rsidRPr="009D3440">
        <w:t>Mamari</w:t>
      </w:r>
      <w:proofErr w:type="spellEnd"/>
      <w:r w:rsidRPr="009D3440">
        <w:t xml:space="preserve"> H., </w:t>
      </w:r>
      <w:proofErr w:type="spellStart"/>
      <w:r w:rsidRPr="009D3440">
        <w:t>Nkambule</w:t>
      </w:r>
      <w:proofErr w:type="spellEnd"/>
      <w:r w:rsidRPr="009D3440">
        <w:t xml:space="preserve"> T.T.I., </w:t>
      </w:r>
      <w:proofErr w:type="spellStart"/>
      <w:r w:rsidRPr="009D3440">
        <w:t>Msag</w:t>
      </w:r>
      <w:r>
        <w:t>ati</w:t>
      </w:r>
      <w:proofErr w:type="spellEnd"/>
      <w:r>
        <w:t xml:space="preserve"> T.A.M., </w:t>
      </w:r>
      <w:r w:rsidR="00B5027D">
        <w:t>2026, Review of environmental, ecological, and public health impacts from municipal landfill leachates Journal of Environmental Engineering and Science, 21, 9-24.</w:t>
      </w:r>
    </w:p>
    <w:p w14:paraId="316A83CD" w14:textId="473F604E" w:rsidR="005E1B5D" w:rsidRPr="00DC61C3" w:rsidRDefault="005E1B5D" w:rsidP="00C24AF1">
      <w:pPr>
        <w:pStyle w:val="CETReferencetext"/>
      </w:pPr>
      <w:proofErr w:type="spellStart"/>
      <w:r w:rsidRPr="009D3440">
        <w:t>Lakhouit</w:t>
      </w:r>
      <w:proofErr w:type="spellEnd"/>
      <w:r w:rsidRPr="009D3440">
        <w:t xml:space="preserve"> A., 2026. </w:t>
      </w:r>
      <w:r w:rsidRPr="00DC61C3">
        <w:t>Landfill emissions and environmental Challenges: A comprehensive review, Fuel, 417, 138671.</w:t>
      </w:r>
    </w:p>
    <w:p w14:paraId="1F96C492" w14:textId="4DD98D3E" w:rsidR="00184A2B" w:rsidRPr="00DC61C3" w:rsidRDefault="00184A2B" w:rsidP="00184A2B">
      <w:pPr>
        <w:pStyle w:val="CETReferencetext"/>
      </w:pPr>
      <w:proofErr w:type="spellStart"/>
      <w:r w:rsidRPr="00DC61C3">
        <w:t>Leonardos</w:t>
      </w:r>
      <w:proofErr w:type="spellEnd"/>
      <w:r w:rsidRPr="00DC61C3">
        <w:t xml:space="preserve"> G., Kendall D., Barnard N., 1969. Odour threshold determinations of 53 odorant chemicals. Journal of Air and Pollution Control Association, 19, 91–95.</w:t>
      </w:r>
    </w:p>
    <w:p w14:paraId="3D710583" w14:textId="086ED966" w:rsidR="008F7B7F" w:rsidRPr="00DC61C3" w:rsidRDefault="008F7B7F" w:rsidP="00C24AF1">
      <w:pPr>
        <w:pStyle w:val="CETReferencetext"/>
      </w:pPr>
      <w:proofErr w:type="spellStart"/>
      <w:r w:rsidRPr="00DC61C3">
        <w:t>Muezzinoglu</w:t>
      </w:r>
      <w:proofErr w:type="spellEnd"/>
      <w:r w:rsidRPr="00DC61C3">
        <w:t xml:space="preserve"> A., 2025. </w:t>
      </w:r>
      <w:r w:rsidR="00D05F55" w:rsidRPr="00DC61C3">
        <w:t xml:space="preserve">A review of </w:t>
      </w:r>
      <w:proofErr w:type="spellStart"/>
      <w:r w:rsidR="00D05F55" w:rsidRPr="00DC61C3">
        <w:t>odor</w:t>
      </w:r>
      <w:proofErr w:type="spellEnd"/>
      <w:r w:rsidR="00D05F55" w:rsidRPr="00DC61C3">
        <w:t xml:space="preserve"> problems from landfills, Chapter In: A. </w:t>
      </w:r>
      <w:proofErr w:type="spellStart"/>
      <w:r w:rsidR="00D05F55" w:rsidRPr="00DC61C3">
        <w:t>Anouzla</w:t>
      </w:r>
      <w:proofErr w:type="spellEnd"/>
      <w:r w:rsidR="00D05F55" w:rsidRPr="00DC61C3">
        <w:t xml:space="preserve">, S. </w:t>
      </w:r>
      <w:proofErr w:type="spellStart"/>
      <w:r w:rsidR="00D05F55" w:rsidRPr="00DC61C3">
        <w:t>Souabi</w:t>
      </w:r>
      <w:proofErr w:type="spellEnd"/>
      <w:r w:rsidR="00D05F55" w:rsidRPr="00DC61C3">
        <w:t>, T.A. Kurniawan (Eds), Handbook of the Effects of Landfill Emissions on Sustainable Development, Springer Cham, Switzerland.</w:t>
      </w:r>
    </w:p>
    <w:p w14:paraId="2BCE05CE" w14:textId="38D95377" w:rsidR="00184A2B" w:rsidRPr="00DC61C3" w:rsidRDefault="00184A2B" w:rsidP="00184A2B">
      <w:pPr>
        <w:pStyle w:val="CETReferencetext"/>
      </w:pPr>
      <w:r w:rsidRPr="00DC61C3">
        <w:t xml:space="preserve">Nagata N., 2003. Measurement of </w:t>
      </w:r>
      <w:proofErr w:type="spellStart"/>
      <w:r w:rsidRPr="00DC61C3">
        <w:t>odor</w:t>
      </w:r>
      <w:proofErr w:type="spellEnd"/>
      <w:r w:rsidRPr="00DC61C3">
        <w:t xml:space="preserve"> threshold by Triangle </w:t>
      </w:r>
      <w:proofErr w:type="spellStart"/>
      <w:r w:rsidRPr="00DC61C3">
        <w:t>odor</w:t>
      </w:r>
      <w:proofErr w:type="spellEnd"/>
      <w:r w:rsidRPr="00DC61C3">
        <w:t xml:space="preserve"> Bag method. Odour </w:t>
      </w:r>
      <w:proofErr w:type="spellStart"/>
      <w:r w:rsidRPr="00DC61C3">
        <w:t>Mesaurement</w:t>
      </w:r>
      <w:proofErr w:type="spellEnd"/>
      <w:r w:rsidRPr="00DC61C3">
        <w:t xml:space="preserve"> Review 118–127. Japan Ministry of the Environment.</w:t>
      </w:r>
    </w:p>
    <w:p w14:paraId="0F63CC7F" w14:textId="1998C251" w:rsidR="00A70B63" w:rsidRPr="00DC61C3" w:rsidRDefault="00A70B63" w:rsidP="00A70B63">
      <w:pPr>
        <w:pStyle w:val="CETReferencetext"/>
      </w:pPr>
      <w:r w:rsidRPr="00DC61C3">
        <w:t xml:space="preserve">Oliva G., </w:t>
      </w:r>
      <w:proofErr w:type="spellStart"/>
      <w:r w:rsidRPr="00DC61C3">
        <w:t>Giaquinto</w:t>
      </w:r>
      <w:proofErr w:type="spellEnd"/>
      <w:r w:rsidRPr="00DC61C3">
        <w:t xml:space="preserve"> D., </w:t>
      </w:r>
      <w:proofErr w:type="spellStart"/>
      <w:r w:rsidRPr="00DC61C3">
        <w:t>Napodano</w:t>
      </w:r>
      <w:proofErr w:type="spellEnd"/>
      <w:r w:rsidRPr="00DC61C3">
        <w:t xml:space="preserve"> P., </w:t>
      </w:r>
      <w:proofErr w:type="spellStart"/>
      <w:r w:rsidRPr="00DC61C3">
        <w:t>Limongiello</w:t>
      </w:r>
      <w:proofErr w:type="spellEnd"/>
      <w:r w:rsidRPr="00DC61C3">
        <w:t xml:space="preserve"> M., Barba S., </w:t>
      </w:r>
      <w:proofErr w:type="spellStart"/>
      <w:r w:rsidRPr="00DC61C3">
        <w:t>Vivarelli</w:t>
      </w:r>
      <w:proofErr w:type="spellEnd"/>
      <w:r w:rsidRPr="00DC61C3">
        <w:t xml:space="preserve"> A., Cardona G., </w:t>
      </w:r>
      <w:proofErr w:type="spellStart"/>
      <w:r w:rsidRPr="00DC61C3">
        <w:t>Belgiorno</w:t>
      </w:r>
      <w:proofErr w:type="spellEnd"/>
      <w:r w:rsidRPr="00DC61C3">
        <w:t xml:space="preserve"> V., </w:t>
      </w:r>
      <w:proofErr w:type="spellStart"/>
      <w:r w:rsidRPr="00DC61C3">
        <w:t>Zarra</w:t>
      </w:r>
      <w:proofErr w:type="spellEnd"/>
      <w:r w:rsidRPr="00DC61C3">
        <w:t xml:space="preserve"> T., </w:t>
      </w:r>
      <w:proofErr w:type="spellStart"/>
      <w:r w:rsidRPr="00DC61C3">
        <w:t>Naddeo</w:t>
      </w:r>
      <w:proofErr w:type="spellEnd"/>
      <w:r w:rsidRPr="00DC61C3">
        <w:t xml:space="preserve"> V., 2024, Fugitive Gaseous Emissions Characterization from Municipal Solid Waste Landfill by a New Integrated Approach: Field Surveys and Remote Sensing, Chemical Engineering Transactions, 112, 205-210.</w:t>
      </w:r>
    </w:p>
    <w:p w14:paraId="3AD9A5CE" w14:textId="70D9C3D3" w:rsidR="003D542B" w:rsidRDefault="003D542B" w:rsidP="003D542B">
      <w:pPr>
        <w:pStyle w:val="CETReferencetext"/>
      </w:pPr>
      <w:r>
        <w:t>Ren Y., Zhang R., Zhang L., Wang H., Zhang X., Bai, Z., Ma L., Wang X., 2025. The Characteristics of Key Odorants from Livestock Farms and Their Mitigation Potential: A Meta-Analysis, Atmosphere, 16, 1097.</w:t>
      </w:r>
    </w:p>
    <w:p w14:paraId="5DEE986C" w14:textId="2EA63F5D" w:rsidR="00EE1A5F" w:rsidRPr="00DC61C3" w:rsidRDefault="00EE1A5F" w:rsidP="00EE1A5F">
      <w:pPr>
        <w:pStyle w:val="CETReferencetext"/>
      </w:pPr>
      <w:proofErr w:type="spellStart"/>
      <w:r w:rsidRPr="00DC61C3">
        <w:t>Szałata</w:t>
      </w:r>
      <w:proofErr w:type="spellEnd"/>
      <w:r w:rsidRPr="00DC61C3">
        <w:t xml:space="preserve"> L., </w:t>
      </w:r>
      <w:proofErr w:type="spellStart"/>
      <w:r w:rsidRPr="00DC61C3">
        <w:t>Zwo</w:t>
      </w:r>
      <w:r w:rsidRPr="00DC61C3">
        <w:rPr>
          <w:rFonts w:cs="Arial"/>
        </w:rPr>
        <w:t>ź</w:t>
      </w:r>
      <w:r w:rsidRPr="00DC61C3">
        <w:t>dziak</w:t>
      </w:r>
      <w:proofErr w:type="spellEnd"/>
      <w:r w:rsidRPr="00DC61C3">
        <w:t xml:space="preserve"> J., </w:t>
      </w:r>
      <w:proofErr w:type="spellStart"/>
      <w:r w:rsidRPr="00DC61C3">
        <w:t>Majerník</w:t>
      </w:r>
      <w:proofErr w:type="spellEnd"/>
      <w:r w:rsidRPr="00DC61C3">
        <w:t xml:space="preserve"> M., </w:t>
      </w:r>
      <w:proofErr w:type="spellStart"/>
      <w:r w:rsidRPr="00DC61C3">
        <w:t>Cierniak-Emerych</w:t>
      </w:r>
      <w:proofErr w:type="spellEnd"/>
      <w:r w:rsidRPr="00DC61C3">
        <w:t xml:space="preserve"> A., </w:t>
      </w:r>
      <w:proofErr w:type="spellStart"/>
      <w:r w:rsidRPr="00DC61C3">
        <w:t>Jarossová</w:t>
      </w:r>
      <w:proofErr w:type="spellEnd"/>
      <w:r w:rsidRPr="00DC61C3">
        <w:t xml:space="preserve"> M. A., </w:t>
      </w:r>
      <w:proofErr w:type="spellStart"/>
      <w:r w:rsidRPr="00DC61C3">
        <w:t>Dziuba</w:t>
      </w:r>
      <w:proofErr w:type="spellEnd"/>
      <w:r w:rsidRPr="00DC61C3">
        <w:t xml:space="preserve"> S., </w:t>
      </w:r>
      <w:proofErr w:type="spellStart"/>
      <w:r w:rsidRPr="00DC61C3">
        <w:t>Knošková</w:t>
      </w:r>
      <w:proofErr w:type="spellEnd"/>
      <w:r w:rsidRPr="00DC61C3">
        <w:t xml:space="preserve"> L., </w:t>
      </w:r>
      <w:proofErr w:type="spellStart"/>
      <w:r w:rsidRPr="00DC61C3">
        <w:t>Drábik</w:t>
      </w:r>
      <w:proofErr w:type="spellEnd"/>
      <w:r w:rsidRPr="00DC61C3">
        <w:t xml:space="preserve"> P., 2021, Assessment of the odour quality of the air surrounding a landfill site: A case study, Sustainability, 13, 1713.</w:t>
      </w:r>
    </w:p>
    <w:p w14:paraId="116D81D6" w14:textId="10DBAB3C" w:rsidR="00184A2B" w:rsidRPr="00DC61C3" w:rsidRDefault="00184A2B" w:rsidP="00184A2B">
      <w:pPr>
        <w:pStyle w:val="CETReferencetext"/>
      </w:pPr>
      <w:r w:rsidRPr="00DC61C3">
        <w:t>UK Environmental Agency, 2007. Review of Odour Character and Thresholds. Science Report SC030170/SR</w:t>
      </w:r>
      <w:proofErr w:type="gramStart"/>
      <w:r w:rsidRPr="00DC61C3">
        <w:t>2,UK</w:t>
      </w:r>
      <w:proofErr w:type="gramEnd"/>
      <w:r w:rsidRPr="00DC61C3">
        <w:t>.</w:t>
      </w:r>
    </w:p>
    <w:p w14:paraId="1B995932" w14:textId="1DEFBE8A" w:rsidR="00184A2B" w:rsidRPr="00DC61C3" w:rsidRDefault="00184A2B" w:rsidP="00184A2B">
      <w:pPr>
        <w:pStyle w:val="CETReferencetext"/>
      </w:pPr>
      <w:r w:rsidRPr="00DC61C3">
        <w:t xml:space="preserve">van </w:t>
      </w:r>
      <w:proofErr w:type="spellStart"/>
      <w:r w:rsidRPr="00DC61C3">
        <w:t>Gemert</w:t>
      </w:r>
      <w:proofErr w:type="spellEnd"/>
      <w:r w:rsidRPr="00DC61C3">
        <w:t xml:space="preserve">, L.J., 2003. Compilations of Odour Threshold Values in Air and Water. (TNO Nutrition and Food Research Institute). </w:t>
      </w:r>
      <w:proofErr w:type="spellStart"/>
      <w:r w:rsidRPr="00DC61C3">
        <w:t>Boelens</w:t>
      </w:r>
      <w:proofErr w:type="spellEnd"/>
      <w:r w:rsidRPr="00DC61C3">
        <w:t xml:space="preserve"> Aroma Chemicals Information Service (BACIS), The Netherlands.</w:t>
      </w:r>
    </w:p>
    <w:p w14:paraId="71D10815" w14:textId="3907781A" w:rsidR="005B55F7" w:rsidRPr="00DC61C3" w:rsidRDefault="005B55F7" w:rsidP="005B55F7">
      <w:pPr>
        <w:pStyle w:val="CETReferencetext"/>
      </w:pPr>
      <w:r w:rsidRPr="00DC61C3">
        <w:t xml:space="preserve">Verma G., </w:t>
      </w:r>
      <w:proofErr w:type="spellStart"/>
      <w:r w:rsidRPr="00DC61C3">
        <w:t>Chetri</w:t>
      </w:r>
      <w:proofErr w:type="spellEnd"/>
      <w:r w:rsidRPr="00DC61C3">
        <w:t xml:space="preserve"> J.K., Reddy K.R., 2025, Development of New Large-Scale Test Setup for Simulating Bio- and Biogeochemical-Based Covers for Landfill Gas Mitigation, Chapter In: A. Farid A., K. </w:t>
      </w:r>
      <w:proofErr w:type="spellStart"/>
      <w:r w:rsidRPr="00DC61C3">
        <w:t>Foye</w:t>
      </w:r>
      <w:proofErr w:type="spellEnd"/>
      <w:r w:rsidRPr="00DC61C3">
        <w:t xml:space="preserve">, M.V. </w:t>
      </w:r>
      <w:proofErr w:type="spellStart"/>
      <w:r w:rsidRPr="00DC61C3">
        <w:t>Khire</w:t>
      </w:r>
      <w:proofErr w:type="spellEnd"/>
      <w:r w:rsidRPr="00DC61C3">
        <w:t xml:space="preserve"> (Eds) Geo-</w:t>
      </w:r>
      <w:proofErr w:type="spellStart"/>
      <w:r w:rsidRPr="00DC61C3">
        <w:t>EnvironMeet</w:t>
      </w:r>
      <w:proofErr w:type="spellEnd"/>
      <w:r w:rsidRPr="00DC61C3">
        <w:t xml:space="preserve"> 2025, </w:t>
      </w:r>
      <w:proofErr w:type="spellStart"/>
      <w:r w:rsidRPr="00DC61C3">
        <w:t>Geoenvironmental</w:t>
      </w:r>
      <w:proofErr w:type="spellEnd"/>
      <w:r w:rsidRPr="00DC61C3">
        <w:t xml:space="preserve"> contamination and waste containment, The American Society of Civil Engineers, Virginia, USA.</w:t>
      </w:r>
    </w:p>
    <w:p w14:paraId="531AD1FF" w14:textId="160FA8F2" w:rsidR="0043494C" w:rsidRPr="00DC61C3" w:rsidRDefault="0043494C" w:rsidP="00EE1A5F">
      <w:pPr>
        <w:pStyle w:val="CETReferencetext"/>
      </w:pPr>
      <w:proofErr w:type="spellStart"/>
      <w:r w:rsidRPr="00DC61C3">
        <w:t>Vizuete</w:t>
      </w:r>
      <w:proofErr w:type="spellEnd"/>
      <w:r w:rsidRPr="00DC61C3">
        <w:t xml:space="preserve">-Montero M., </w:t>
      </w:r>
      <w:proofErr w:type="spellStart"/>
      <w:r w:rsidRPr="00DC61C3">
        <w:t>Chaglla-Cango</w:t>
      </w:r>
      <w:proofErr w:type="spellEnd"/>
      <w:r w:rsidRPr="00DC61C3">
        <w:t xml:space="preserve"> M., </w:t>
      </w:r>
      <w:proofErr w:type="spellStart"/>
      <w:r w:rsidRPr="00DC61C3">
        <w:t>Cuadrado</w:t>
      </w:r>
      <w:proofErr w:type="spellEnd"/>
      <w:r w:rsidRPr="00DC61C3">
        <w:t>-Andrade J., León-</w:t>
      </w:r>
      <w:proofErr w:type="spellStart"/>
      <w:r w:rsidRPr="00DC61C3">
        <w:t>Terán</w:t>
      </w:r>
      <w:proofErr w:type="spellEnd"/>
      <w:r w:rsidRPr="00DC61C3">
        <w:t xml:space="preserve"> J., 2025, HDPE geomembrane-based artificial cover system for landfill in mitigating mercaptan emissions from organic waste, Waste Management Bulletin, 3, 100231.</w:t>
      </w:r>
    </w:p>
    <w:p w14:paraId="005092D7" w14:textId="518E1524" w:rsidR="00427B6B" w:rsidRPr="00DC61C3" w:rsidRDefault="00427B6B" w:rsidP="00427B6B">
      <w:pPr>
        <w:pStyle w:val="CETReferencetext"/>
      </w:pPr>
      <w:r w:rsidRPr="00DC61C3">
        <w:t xml:space="preserve">Zhang Y., Ning X., Li Y., Wang J., Cui H., Meng J., Teng C., Wang G., Shang X., 2021, Impact assessment of </w:t>
      </w:r>
      <w:proofErr w:type="spellStart"/>
      <w:r w:rsidRPr="00DC61C3">
        <w:t>odor</w:t>
      </w:r>
      <w:proofErr w:type="spellEnd"/>
      <w:r w:rsidRPr="00DC61C3">
        <w:t xml:space="preserve"> nuisance, health risk and variation originating from the landfill surface, Waste Management, 126, 771-780.</w:t>
      </w:r>
    </w:p>
    <w:p w14:paraId="55DC0B59" w14:textId="06937C12" w:rsidR="00307A8A" w:rsidRDefault="00307A8A" w:rsidP="00FE68F9">
      <w:pPr>
        <w:pStyle w:val="CETReferencetext"/>
      </w:pPr>
      <w:r w:rsidRPr="00DC61C3">
        <w:t>Zhang J.</w:t>
      </w:r>
      <w:r w:rsidR="00D05F55" w:rsidRPr="00DC61C3">
        <w:t>,</w:t>
      </w:r>
      <w:r w:rsidRPr="00DC61C3">
        <w:t xml:space="preserve"> Li X., </w:t>
      </w:r>
      <w:proofErr w:type="spellStart"/>
      <w:r w:rsidRPr="00DC61C3">
        <w:t>Quian</w:t>
      </w:r>
      <w:proofErr w:type="spellEnd"/>
      <w:r w:rsidRPr="00DC61C3">
        <w:t xml:space="preserve"> A., Xu X., </w:t>
      </w:r>
      <w:proofErr w:type="spellStart"/>
      <w:r w:rsidRPr="00DC61C3">
        <w:t>Lv</w:t>
      </w:r>
      <w:proofErr w:type="spellEnd"/>
      <w:r w:rsidRPr="00DC61C3">
        <w:t xml:space="preserve"> Y., Zhou X., Yang X., Zhu W., Zhang H., Ding Y., 2024. Effects of operating conditions on the </w:t>
      </w:r>
      <w:proofErr w:type="gramStart"/>
      <w:r w:rsidRPr="00DC61C3">
        <w:t>in situ</w:t>
      </w:r>
      <w:proofErr w:type="gramEnd"/>
      <w:r w:rsidRPr="00DC61C3">
        <w:t xml:space="preserve"> control of </w:t>
      </w:r>
      <w:proofErr w:type="spellStart"/>
      <w:r w:rsidRPr="00DC61C3">
        <w:t>sulfur</w:t>
      </w:r>
      <w:proofErr w:type="spellEnd"/>
      <w:r w:rsidRPr="00DC61C3">
        <w:rPr>
          <w:rFonts w:ascii="Cambria Math" w:hAnsi="Cambria Math" w:cs="Cambria Math"/>
        </w:rPr>
        <w:t>‑</w:t>
      </w:r>
      <w:r w:rsidRPr="00DC61C3">
        <w:t xml:space="preserve">containing </w:t>
      </w:r>
      <w:proofErr w:type="spellStart"/>
      <w:r w:rsidRPr="00DC61C3">
        <w:t>odors</w:t>
      </w:r>
      <w:proofErr w:type="spellEnd"/>
      <w:r w:rsidRPr="00DC61C3">
        <w:t xml:space="preserve"> by using a novel alternative landfill cover</w:t>
      </w:r>
      <w:r w:rsidR="00FE68F9">
        <w:t xml:space="preserve"> </w:t>
      </w:r>
      <w:r w:rsidRPr="00DC61C3">
        <w:t xml:space="preserve">and its transformation mechanism, Environmental </w:t>
      </w:r>
      <w:proofErr w:type="spellStart"/>
      <w:r w:rsidRPr="00DC61C3">
        <w:t>Sience</w:t>
      </w:r>
      <w:proofErr w:type="spellEnd"/>
      <w:r w:rsidRPr="00DC61C3">
        <w:t xml:space="preserve"> and Pollution Research, 31, 7959-7976.</w:t>
      </w:r>
    </w:p>
    <w:p w14:paraId="1E6495DC" w14:textId="351E8516" w:rsidR="00FE68F9" w:rsidRPr="00DC61C3" w:rsidRDefault="00FE68F9" w:rsidP="00FE68F9">
      <w:pPr>
        <w:pStyle w:val="CETReferencetext"/>
      </w:pPr>
      <w:r>
        <w:t xml:space="preserve">Zheng T., Li L., Chai F., Wang Y., 2021. </w:t>
      </w:r>
      <w:r w:rsidRPr="00FE68F9">
        <w:t>Factors impacting the performance and microbial populations of three</w:t>
      </w:r>
      <w:r>
        <w:t xml:space="preserve"> </w:t>
      </w:r>
      <w:r w:rsidRPr="00FE68F9">
        <w:t>biofilters for co-treatment of H2S and NH3in a domestic waste landfill</w:t>
      </w:r>
      <w:r>
        <w:t xml:space="preserve"> </w:t>
      </w:r>
      <w:r w:rsidRPr="00FE68F9">
        <w:t>site</w:t>
      </w:r>
      <w:r>
        <w:t>. Process Safety and Environmental Protection, 149, 410-421.</w:t>
      </w:r>
    </w:p>
    <w:p w14:paraId="03CEA04C" w14:textId="77777777" w:rsidR="00C52C3C" w:rsidRPr="00DC61C3" w:rsidRDefault="00C52C3C" w:rsidP="00E65B91">
      <w:pPr>
        <w:pStyle w:val="CETReferencetext"/>
      </w:pPr>
    </w:p>
    <w:p w14:paraId="28E8379D" w14:textId="77777777" w:rsidR="00C52C3C" w:rsidRPr="00DC61C3" w:rsidRDefault="00C52C3C" w:rsidP="00E65B91">
      <w:pPr>
        <w:pStyle w:val="CETReferencetext"/>
      </w:pPr>
    </w:p>
    <w:p w14:paraId="19C4FC68" w14:textId="77777777" w:rsidR="004628D2" w:rsidRPr="00DC61C3" w:rsidRDefault="004628D2" w:rsidP="00FA5F5F">
      <w:pPr>
        <w:pStyle w:val="CETHeading1"/>
        <w:numPr>
          <w:ilvl w:val="0"/>
          <w:numId w:val="0"/>
        </w:numPr>
        <w:rPr>
          <w:lang w:val="en-GB"/>
        </w:rPr>
      </w:pPr>
    </w:p>
    <w:sectPr w:rsidR="004628D2" w:rsidRPr="00DC61C3" w:rsidSect="00A714EF">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0BE8B" w14:textId="77777777" w:rsidR="00445D4B" w:rsidRDefault="00445D4B" w:rsidP="004F5E36">
      <w:r>
        <w:separator/>
      </w:r>
    </w:p>
  </w:endnote>
  <w:endnote w:type="continuationSeparator" w:id="0">
    <w:p w14:paraId="62F0B79A" w14:textId="77777777" w:rsidR="00445D4B" w:rsidRDefault="00445D4B"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Times New Roman"/>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A38C2" w14:textId="77777777" w:rsidR="00445D4B" w:rsidRDefault="00445D4B" w:rsidP="004F5E36">
      <w:r>
        <w:separator/>
      </w:r>
    </w:p>
  </w:footnote>
  <w:footnote w:type="continuationSeparator" w:id="0">
    <w:p w14:paraId="69F3D2A6" w14:textId="77777777" w:rsidR="00445D4B" w:rsidRDefault="00445D4B"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58AF15E"/>
    <w:lvl w:ilvl="0">
      <w:start w:val="1"/>
      <w:numFmt w:val="decimal"/>
      <w:pStyle w:val="Llistanumerada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listanumerada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listanumerada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listanumerada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listaambpic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listaambpic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listaambpic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listaambpic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listanumerada"/>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listaambpics"/>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3261"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ulabsica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7"/>
  </w:num>
  <w:num w:numId="13">
    <w:abstractNumId w:val="12"/>
  </w:num>
  <w:num w:numId="14">
    <w:abstractNumId w:val="18"/>
  </w:num>
  <w:num w:numId="15">
    <w:abstractNumId w:val="20"/>
  </w:num>
  <w:num w:numId="16">
    <w:abstractNumId w:val="19"/>
  </w:num>
  <w:num w:numId="17">
    <w:abstractNumId w:val="11"/>
  </w:num>
  <w:num w:numId="18">
    <w:abstractNumId w:val="12"/>
    <w:lvlOverride w:ilvl="0">
      <w:startOverride w:val="1"/>
    </w:lvlOverride>
  </w:num>
  <w:num w:numId="19">
    <w:abstractNumId w:val="16"/>
  </w:num>
  <w:num w:numId="20">
    <w:abstractNumId w:val="15"/>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A19"/>
    <w:rsid w:val="000078C9"/>
    <w:rsid w:val="000117CB"/>
    <w:rsid w:val="0003148D"/>
    <w:rsid w:val="00031EEC"/>
    <w:rsid w:val="00051566"/>
    <w:rsid w:val="000532DC"/>
    <w:rsid w:val="000539B1"/>
    <w:rsid w:val="00054288"/>
    <w:rsid w:val="000562A9"/>
    <w:rsid w:val="00062A9A"/>
    <w:rsid w:val="00065058"/>
    <w:rsid w:val="00076C0A"/>
    <w:rsid w:val="00086C39"/>
    <w:rsid w:val="000A03B2"/>
    <w:rsid w:val="000D0268"/>
    <w:rsid w:val="000D34BE"/>
    <w:rsid w:val="000E102F"/>
    <w:rsid w:val="000E36F1"/>
    <w:rsid w:val="000E3A73"/>
    <w:rsid w:val="000E414A"/>
    <w:rsid w:val="000F093C"/>
    <w:rsid w:val="000F787B"/>
    <w:rsid w:val="0012091F"/>
    <w:rsid w:val="00123DB3"/>
    <w:rsid w:val="00126BC2"/>
    <w:rsid w:val="001308B6"/>
    <w:rsid w:val="0013121F"/>
    <w:rsid w:val="00131FE6"/>
    <w:rsid w:val="0013263F"/>
    <w:rsid w:val="001331DF"/>
    <w:rsid w:val="00134DE4"/>
    <w:rsid w:val="0014034D"/>
    <w:rsid w:val="00144D16"/>
    <w:rsid w:val="001477E1"/>
    <w:rsid w:val="00150E59"/>
    <w:rsid w:val="00152DE3"/>
    <w:rsid w:val="00164CF9"/>
    <w:rsid w:val="001667A6"/>
    <w:rsid w:val="001670FA"/>
    <w:rsid w:val="00184A2B"/>
    <w:rsid w:val="00184AD6"/>
    <w:rsid w:val="00195AD5"/>
    <w:rsid w:val="001A10EF"/>
    <w:rsid w:val="001A4AF7"/>
    <w:rsid w:val="001B0349"/>
    <w:rsid w:val="001B1E93"/>
    <w:rsid w:val="001B65C1"/>
    <w:rsid w:val="001C3CA6"/>
    <w:rsid w:val="001C684B"/>
    <w:rsid w:val="001D0CFB"/>
    <w:rsid w:val="001D21AF"/>
    <w:rsid w:val="001D53FC"/>
    <w:rsid w:val="001D69D1"/>
    <w:rsid w:val="001E2B6C"/>
    <w:rsid w:val="001F42A5"/>
    <w:rsid w:val="001F7B9D"/>
    <w:rsid w:val="001F7F35"/>
    <w:rsid w:val="00201C93"/>
    <w:rsid w:val="0021446A"/>
    <w:rsid w:val="002224B4"/>
    <w:rsid w:val="002447EF"/>
    <w:rsid w:val="0024486D"/>
    <w:rsid w:val="0025043B"/>
    <w:rsid w:val="00251550"/>
    <w:rsid w:val="00263B05"/>
    <w:rsid w:val="002712CE"/>
    <w:rsid w:val="0027221A"/>
    <w:rsid w:val="00273790"/>
    <w:rsid w:val="00275B61"/>
    <w:rsid w:val="002760BB"/>
    <w:rsid w:val="0027790B"/>
    <w:rsid w:val="00280FAF"/>
    <w:rsid w:val="00282656"/>
    <w:rsid w:val="00283756"/>
    <w:rsid w:val="00296B83"/>
    <w:rsid w:val="002A6EA6"/>
    <w:rsid w:val="002B4015"/>
    <w:rsid w:val="002B78CE"/>
    <w:rsid w:val="002C2FB6"/>
    <w:rsid w:val="002C58DC"/>
    <w:rsid w:val="002E0C68"/>
    <w:rsid w:val="002E5FA7"/>
    <w:rsid w:val="002F3309"/>
    <w:rsid w:val="003008CE"/>
    <w:rsid w:val="003009B7"/>
    <w:rsid w:val="00300E56"/>
    <w:rsid w:val="0030152C"/>
    <w:rsid w:val="0030469C"/>
    <w:rsid w:val="0030655B"/>
    <w:rsid w:val="00307A8A"/>
    <w:rsid w:val="00321CA6"/>
    <w:rsid w:val="00323763"/>
    <w:rsid w:val="00323C5F"/>
    <w:rsid w:val="003242BA"/>
    <w:rsid w:val="00334C09"/>
    <w:rsid w:val="0035009F"/>
    <w:rsid w:val="0035782B"/>
    <w:rsid w:val="003723D4"/>
    <w:rsid w:val="00374F0E"/>
    <w:rsid w:val="00381905"/>
    <w:rsid w:val="00384CC8"/>
    <w:rsid w:val="003871FD"/>
    <w:rsid w:val="00392A43"/>
    <w:rsid w:val="00397008"/>
    <w:rsid w:val="003A1E30"/>
    <w:rsid w:val="003A2829"/>
    <w:rsid w:val="003A7D1C"/>
    <w:rsid w:val="003B304B"/>
    <w:rsid w:val="003B3146"/>
    <w:rsid w:val="003B72CD"/>
    <w:rsid w:val="003C5426"/>
    <w:rsid w:val="003D542B"/>
    <w:rsid w:val="003F015E"/>
    <w:rsid w:val="00400414"/>
    <w:rsid w:val="0041446B"/>
    <w:rsid w:val="00421290"/>
    <w:rsid w:val="00427B6B"/>
    <w:rsid w:val="00431D67"/>
    <w:rsid w:val="0043494C"/>
    <w:rsid w:val="0044071E"/>
    <w:rsid w:val="0044329C"/>
    <w:rsid w:val="00445D4B"/>
    <w:rsid w:val="00453E24"/>
    <w:rsid w:val="00457456"/>
    <w:rsid w:val="004577FE"/>
    <w:rsid w:val="00457B9C"/>
    <w:rsid w:val="0046164A"/>
    <w:rsid w:val="004628D2"/>
    <w:rsid w:val="00462DCD"/>
    <w:rsid w:val="004648AD"/>
    <w:rsid w:val="004703A9"/>
    <w:rsid w:val="004721A1"/>
    <w:rsid w:val="004760DE"/>
    <w:rsid w:val="004763D7"/>
    <w:rsid w:val="004A004E"/>
    <w:rsid w:val="004A24CF"/>
    <w:rsid w:val="004B72F7"/>
    <w:rsid w:val="004C3D1D"/>
    <w:rsid w:val="004C3D84"/>
    <w:rsid w:val="004C7913"/>
    <w:rsid w:val="004D482F"/>
    <w:rsid w:val="004E4DD6"/>
    <w:rsid w:val="004F2451"/>
    <w:rsid w:val="004F5E36"/>
    <w:rsid w:val="00501757"/>
    <w:rsid w:val="00507B47"/>
    <w:rsid w:val="00507BEF"/>
    <w:rsid w:val="00507CC9"/>
    <w:rsid w:val="005119A5"/>
    <w:rsid w:val="00522DAE"/>
    <w:rsid w:val="00525A41"/>
    <w:rsid w:val="005278B7"/>
    <w:rsid w:val="005319B2"/>
    <w:rsid w:val="00532016"/>
    <w:rsid w:val="005346C8"/>
    <w:rsid w:val="00543E7D"/>
    <w:rsid w:val="00547A68"/>
    <w:rsid w:val="005531C9"/>
    <w:rsid w:val="0055743C"/>
    <w:rsid w:val="00557E00"/>
    <w:rsid w:val="00570C43"/>
    <w:rsid w:val="005B1847"/>
    <w:rsid w:val="005B2110"/>
    <w:rsid w:val="005B55F7"/>
    <w:rsid w:val="005B61E6"/>
    <w:rsid w:val="005C77E1"/>
    <w:rsid w:val="005D668A"/>
    <w:rsid w:val="005D6A2F"/>
    <w:rsid w:val="005E1191"/>
    <w:rsid w:val="005E1A82"/>
    <w:rsid w:val="005E1B5D"/>
    <w:rsid w:val="005E794C"/>
    <w:rsid w:val="005E7A76"/>
    <w:rsid w:val="005F0A28"/>
    <w:rsid w:val="005F0E5E"/>
    <w:rsid w:val="005F5047"/>
    <w:rsid w:val="00600535"/>
    <w:rsid w:val="00610CD6"/>
    <w:rsid w:val="00611194"/>
    <w:rsid w:val="00620DEE"/>
    <w:rsid w:val="00621F92"/>
    <w:rsid w:val="0062280A"/>
    <w:rsid w:val="00623C44"/>
    <w:rsid w:val="00625639"/>
    <w:rsid w:val="00631B33"/>
    <w:rsid w:val="0064184D"/>
    <w:rsid w:val="006422CC"/>
    <w:rsid w:val="00647633"/>
    <w:rsid w:val="0065235D"/>
    <w:rsid w:val="00660E3E"/>
    <w:rsid w:val="00662E74"/>
    <w:rsid w:val="00674594"/>
    <w:rsid w:val="00674835"/>
    <w:rsid w:val="00676344"/>
    <w:rsid w:val="00680C23"/>
    <w:rsid w:val="00681460"/>
    <w:rsid w:val="0068422D"/>
    <w:rsid w:val="00693766"/>
    <w:rsid w:val="006A202E"/>
    <w:rsid w:val="006A3281"/>
    <w:rsid w:val="006A3D07"/>
    <w:rsid w:val="006B07DD"/>
    <w:rsid w:val="006B4888"/>
    <w:rsid w:val="006C2E45"/>
    <w:rsid w:val="006C359C"/>
    <w:rsid w:val="006C5579"/>
    <w:rsid w:val="006D6920"/>
    <w:rsid w:val="006D6E8B"/>
    <w:rsid w:val="006E737D"/>
    <w:rsid w:val="006F2807"/>
    <w:rsid w:val="0070100E"/>
    <w:rsid w:val="00707DD1"/>
    <w:rsid w:val="00713973"/>
    <w:rsid w:val="00720A24"/>
    <w:rsid w:val="00722C6D"/>
    <w:rsid w:val="00732386"/>
    <w:rsid w:val="0073514D"/>
    <w:rsid w:val="007444EC"/>
    <w:rsid w:val="007447F3"/>
    <w:rsid w:val="0075499F"/>
    <w:rsid w:val="007661C8"/>
    <w:rsid w:val="0077098D"/>
    <w:rsid w:val="007931FA"/>
    <w:rsid w:val="007A4861"/>
    <w:rsid w:val="007A7BBA"/>
    <w:rsid w:val="007B0C50"/>
    <w:rsid w:val="007B1664"/>
    <w:rsid w:val="007B48F9"/>
    <w:rsid w:val="007C0F7C"/>
    <w:rsid w:val="007C1A43"/>
    <w:rsid w:val="007D05FF"/>
    <w:rsid w:val="007D0951"/>
    <w:rsid w:val="0080013E"/>
    <w:rsid w:val="00813288"/>
    <w:rsid w:val="008168FC"/>
    <w:rsid w:val="00830996"/>
    <w:rsid w:val="008345F1"/>
    <w:rsid w:val="00857CB7"/>
    <w:rsid w:val="008636F5"/>
    <w:rsid w:val="00865B07"/>
    <w:rsid w:val="008667EA"/>
    <w:rsid w:val="008715DD"/>
    <w:rsid w:val="0087637F"/>
    <w:rsid w:val="00892AD5"/>
    <w:rsid w:val="008A1512"/>
    <w:rsid w:val="008D32B9"/>
    <w:rsid w:val="008D433B"/>
    <w:rsid w:val="008D4A16"/>
    <w:rsid w:val="008E566E"/>
    <w:rsid w:val="008E58F7"/>
    <w:rsid w:val="008F60B5"/>
    <w:rsid w:val="008F7B7F"/>
    <w:rsid w:val="0090161A"/>
    <w:rsid w:val="00901EB6"/>
    <w:rsid w:val="00904C62"/>
    <w:rsid w:val="00922BA8"/>
    <w:rsid w:val="00924DAC"/>
    <w:rsid w:val="00927058"/>
    <w:rsid w:val="00935656"/>
    <w:rsid w:val="00940629"/>
    <w:rsid w:val="00942750"/>
    <w:rsid w:val="009450CE"/>
    <w:rsid w:val="009459BB"/>
    <w:rsid w:val="00947179"/>
    <w:rsid w:val="0095164B"/>
    <w:rsid w:val="00954090"/>
    <w:rsid w:val="009573E7"/>
    <w:rsid w:val="00963E05"/>
    <w:rsid w:val="00964A45"/>
    <w:rsid w:val="00967843"/>
    <w:rsid w:val="00967D54"/>
    <w:rsid w:val="00971028"/>
    <w:rsid w:val="00971DC8"/>
    <w:rsid w:val="00986E19"/>
    <w:rsid w:val="00993B84"/>
    <w:rsid w:val="00996483"/>
    <w:rsid w:val="00996F5A"/>
    <w:rsid w:val="009A1997"/>
    <w:rsid w:val="009B041A"/>
    <w:rsid w:val="009C37C3"/>
    <w:rsid w:val="009C7C86"/>
    <w:rsid w:val="009D0CE4"/>
    <w:rsid w:val="009D2FF7"/>
    <w:rsid w:val="009D3440"/>
    <w:rsid w:val="009E7884"/>
    <w:rsid w:val="009E788A"/>
    <w:rsid w:val="009F0E08"/>
    <w:rsid w:val="00A1763D"/>
    <w:rsid w:val="00A17CEC"/>
    <w:rsid w:val="00A27EF0"/>
    <w:rsid w:val="00A42361"/>
    <w:rsid w:val="00A44F90"/>
    <w:rsid w:val="00A50B20"/>
    <w:rsid w:val="00A51390"/>
    <w:rsid w:val="00A56ECE"/>
    <w:rsid w:val="00A60D13"/>
    <w:rsid w:val="00A70B63"/>
    <w:rsid w:val="00A714EF"/>
    <w:rsid w:val="00A7223D"/>
    <w:rsid w:val="00A72745"/>
    <w:rsid w:val="00A76EFC"/>
    <w:rsid w:val="00A87D50"/>
    <w:rsid w:val="00A91010"/>
    <w:rsid w:val="00A929A2"/>
    <w:rsid w:val="00A97F29"/>
    <w:rsid w:val="00AA702E"/>
    <w:rsid w:val="00AA7D26"/>
    <w:rsid w:val="00AB0964"/>
    <w:rsid w:val="00AB5011"/>
    <w:rsid w:val="00AC0F08"/>
    <w:rsid w:val="00AC1E5B"/>
    <w:rsid w:val="00AC3955"/>
    <w:rsid w:val="00AC7368"/>
    <w:rsid w:val="00AD1289"/>
    <w:rsid w:val="00AD16B9"/>
    <w:rsid w:val="00AE26ED"/>
    <w:rsid w:val="00AE377D"/>
    <w:rsid w:val="00AF0EBA"/>
    <w:rsid w:val="00AF46C8"/>
    <w:rsid w:val="00B02C8A"/>
    <w:rsid w:val="00B17FBD"/>
    <w:rsid w:val="00B25639"/>
    <w:rsid w:val="00B315A6"/>
    <w:rsid w:val="00B31813"/>
    <w:rsid w:val="00B33365"/>
    <w:rsid w:val="00B5027D"/>
    <w:rsid w:val="00B57B36"/>
    <w:rsid w:val="00B57E6F"/>
    <w:rsid w:val="00B7045E"/>
    <w:rsid w:val="00B8686D"/>
    <w:rsid w:val="00B93F69"/>
    <w:rsid w:val="00BB1DDC"/>
    <w:rsid w:val="00BC30C9"/>
    <w:rsid w:val="00BD077D"/>
    <w:rsid w:val="00BE3E58"/>
    <w:rsid w:val="00BF6A7D"/>
    <w:rsid w:val="00C01616"/>
    <w:rsid w:val="00C0162B"/>
    <w:rsid w:val="00C068ED"/>
    <w:rsid w:val="00C22E0C"/>
    <w:rsid w:val="00C24AF1"/>
    <w:rsid w:val="00C2793D"/>
    <w:rsid w:val="00C31535"/>
    <w:rsid w:val="00C345B1"/>
    <w:rsid w:val="00C40142"/>
    <w:rsid w:val="00C52C3C"/>
    <w:rsid w:val="00C57182"/>
    <w:rsid w:val="00C57863"/>
    <w:rsid w:val="00C640AF"/>
    <w:rsid w:val="00C655FD"/>
    <w:rsid w:val="00C75407"/>
    <w:rsid w:val="00C841C6"/>
    <w:rsid w:val="00C870A8"/>
    <w:rsid w:val="00C94434"/>
    <w:rsid w:val="00CA0D75"/>
    <w:rsid w:val="00CA1C95"/>
    <w:rsid w:val="00CA53A5"/>
    <w:rsid w:val="00CA5A9C"/>
    <w:rsid w:val="00CC4C20"/>
    <w:rsid w:val="00CD3517"/>
    <w:rsid w:val="00CD5FE2"/>
    <w:rsid w:val="00CE37B4"/>
    <w:rsid w:val="00CE7C68"/>
    <w:rsid w:val="00D02B4C"/>
    <w:rsid w:val="00D040C4"/>
    <w:rsid w:val="00D05F55"/>
    <w:rsid w:val="00D20AD1"/>
    <w:rsid w:val="00D2582C"/>
    <w:rsid w:val="00D44C6D"/>
    <w:rsid w:val="00D46B7E"/>
    <w:rsid w:val="00D57C84"/>
    <w:rsid w:val="00D6057D"/>
    <w:rsid w:val="00D71640"/>
    <w:rsid w:val="00D7350B"/>
    <w:rsid w:val="00D836C5"/>
    <w:rsid w:val="00D84576"/>
    <w:rsid w:val="00D97EDE"/>
    <w:rsid w:val="00DA1399"/>
    <w:rsid w:val="00DA24C6"/>
    <w:rsid w:val="00DA4D7B"/>
    <w:rsid w:val="00DC61C3"/>
    <w:rsid w:val="00DC6D86"/>
    <w:rsid w:val="00DD271C"/>
    <w:rsid w:val="00DE264A"/>
    <w:rsid w:val="00DF5072"/>
    <w:rsid w:val="00E01201"/>
    <w:rsid w:val="00E02D18"/>
    <w:rsid w:val="00E041E7"/>
    <w:rsid w:val="00E21688"/>
    <w:rsid w:val="00E23CA1"/>
    <w:rsid w:val="00E409A8"/>
    <w:rsid w:val="00E4662C"/>
    <w:rsid w:val="00E50C12"/>
    <w:rsid w:val="00E65B91"/>
    <w:rsid w:val="00E719BC"/>
    <w:rsid w:val="00E7209D"/>
    <w:rsid w:val="00E72EAD"/>
    <w:rsid w:val="00E77223"/>
    <w:rsid w:val="00E8528B"/>
    <w:rsid w:val="00E85B94"/>
    <w:rsid w:val="00E936E4"/>
    <w:rsid w:val="00E978D0"/>
    <w:rsid w:val="00EA4473"/>
    <w:rsid w:val="00EA4613"/>
    <w:rsid w:val="00EA726E"/>
    <w:rsid w:val="00EA7F91"/>
    <w:rsid w:val="00EB1523"/>
    <w:rsid w:val="00EC0E49"/>
    <w:rsid w:val="00EC101F"/>
    <w:rsid w:val="00EC1D9F"/>
    <w:rsid w:val="00EE0131"/>
    <w:rsid w:val="00EE17B0"/>
    <w:rsid w:val="00EE1A5F"/>
    <w:rsid w:val="00EE2B91"/>
    <w:rsid w:val="00EF06D9"/>
    <w:rsid w:val="00F3049E"/>
    <w:rsid w:val="00F30C64"/>
    <w:rsid w:val="00F32BA2"/>
    <w:rsid w:val="00F32CDB"/>
    <w:rsid w:val="00F36DFD"/>
    <w:rsid w:val="00F404F0"/>
    <w:rsid w:val="00F565FE"/>
    <w:rsid w:val="00F63A70"/>
    <w:rsid w:val="00F63D8C"/>
    <w:rsid w:val="00F66807"/>
    <w:rsid w:val="00F7534E"/>
    <w:rsid w:val="00F93EDF"/>
    <w:rsid w:val="00FA1802"/>
    <w:rsid w:val="00FA21D0"/>
    <w:rsid w:val="00FA5F5F"/>
    <w:rsid w:val="00FB730C"/>
    <w:rsid w:val="00FC2695"/>
    <w:rsid w:val="00FC3E03"/>
    <w:rsid w:val="00FC3FC1"/>
    <w:rsid w:val="00FE02BB"/>
    <w:rsid w:val="00FE68F9"/>
    <w:rsid w:val="00FF2165"/>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tol1">
    <w:name w:val="heading 1"/>
    <w:basedOn w:val="CETHeading1"/>
    <w:next w:val="Normal"/>
    <w:link w:val="Ttol1Car"/>
    <w:uiPriority w:val="9"/>
    <w:rsid w:val="004F5E36"/>
    <w:pPr>
      <w:tabs>
        <w:tab w:val="clear" w:pos="360"/>
        <w:tab w:val="right" w:pos="7100"/>
      </w:tabs>
      <w:jc w:val="both"/>
      <w:outlineLvl w:val="0"/>
    </w:pPr>
    <w:rPr>
      <w:lang w:val="en-GB"/>
    </w:rPr>
  </w:style>
  <w:style w:type="paragraph" w:styleId="Ttol2">
    <w:name w:val="heading 2"/>
    <w:basedOn w:val="Normal"/>
    <w:next w:val="Normal"/>
    <w:link w:val="Ttol2C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ol3">
    <w:name w:val="heading 3"/>
    <w:basedOn w:val="Normal"/>
    <w:next w:val="Normal"/>
    <w:link w:val="Ttol3C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tol4">
    <w:name w:val="heading 4"/>
    <w:basedOn w:val="Normal"/>
    <w:next w:val="Normal"/>
    <w:link w:val="Ttol4C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tol5">
    <w:name w:val="heading 5"/>
    <w:basedOn w:val="Normal"/>
    <w:next w:val="Normal"/>
    <w:link w:val="Ttol5C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tol6">
    <w:name w:val="heading 6"/>
    <w:basedOn w:val="Normal"/>
    <w:next w:val="Normal"/>
    <w:link w:val="Ttol6C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tol7">
    <w:name w:val="heading 7"/>
    <w:basedOn w:val="Normal"/>
    <w:next w:val="Normal"/>
    <w:link w:val="Ttol7C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tol8">
    <w:name w:val="heading 8"/>
    <w:basedOn w:val="Normal"/>
    <w:next w:val="Normal"/>
    <w:link w:val="Ttol8C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ind w:left="0"/>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ulabsica1">
    <w:name w:val="Table Simple 1"/>
    <w:basedOn w:val="Taula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efernciadecomentari">
    <w:name w:val="annotation reference"/>
    <w:basedOn w:val="Lletraperdefectedelpargraf"/>
    <w:uiPriority w:val="99"/>
    <w:semiHidden/>
    <w:unhideWhenUsed/>
    <w:rsid w:val="004577FE"/>
    <w:rPr>
      <w:sz w:val="16"/>
      <w:szCs w:val="16"/>
    </w:rPr>
  </w:style>
  <w:style w:type="paragraph" w:styleId="Textdeglobus">
    <w:name w:val="Balloon Text"/>
    <w:basedOn w:val="Normal"/>
    <w:link w:val="TextdeglobusCar"/>
    <w:uiPriority w:val="99"/>
    <w:semiHidden/>
    <w:unhideWhenUsed/>
    <w:rsid w:val="000D34BE"/>
    <w:pPr>
      <w:spacing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Textindependent2">
    <w:name w:val="Body Text 2"/>
    <w:basedOn w:val="Normal"/>
    <w:link w:val="Textindependent2Car"/>
    <w:uiPriority w:val="99"/>
    <w:semiHidden/>
    <w:unhideWhenUsed/>
    <w:rsid w:val="0003148D"/>
    <w:pPr>
      <w:spacing w:after="120" w:line="480" w:lineRule="auto"/>
    </w:pPr>
  </w:style>
  <w:style w:type="character" w:customStyle="1" w:styleId="Textindependent2Car">
    <w:name w:val="Text independent 2 Car"/>
    <w:basedOn w:val="Lletraperdefectedelpargraf"/>
    <w:link w:val="Textindependent2"/>
    <w:uiPriority w:val="99"/>
    <w:semiHidden/>
    <w:rsid w:val="0003148D"/>
  </w:style>
  <w:style w:type="paragraph" w:styleId="Textindependent3">
    <w:name w:val="Body Text 3"/>
    <w:basedOn w:val="Normal"/>
    <w:link w:val="Textindependent3Car"/>
    <w:uiPriority w:val="99"/>
    <w:semiHidden/>
    <w:unhideWhenUsed/>
    <w:rsid w:val="0003148D"/>
    <w:pPr>
      <w:spacing w:after="120"/>
    </w:pPr>
    <w:rPr>
      <w:sz w:val="16"/>
      <w:szCs w:val="16"/>
    </w:rPr>
  </w:style>
  <w:style w:type="character" w:customStyle="1" w:styleId="Textindependent3Car">
    <w:name w:val="Text independent 3 Car"/>
    <w:basedOn w:val="Lletraperdefectedelpargraf"/>
    <w:link w:val="Textindependent3"/>
    <w:uiPriority w:val="99"/>
    <w:semiHidden/>
    <w:rsid w:val="0003148D"/>
    <w:rPr>
      <w:sz w:val="16"/>
      <w:szCs w:val="16"/>
    </w:rPr>
  </w:style>
  <w:style w:type="paragraph" w:styleId="Textindependent">
    <w:name w:val="Body Text"/>
    <w:basedOn w:val="Normal"/>
    <w:link w:val="TextindependentCar"/>
    <w:uiPriority w:val="99"/>
    <w:semiHidden/>
    <w:unhideWhenUsed/>
    <w:rsid w:val="0003148D"/>
    <w:pPr>
      <w:spacing w:after="120"/>
    </w:pPr>
  </w:style>
  <w:style w:type="character" w:customStyle="1" w:styleId="TextindependentCar">
    <w:name w:val="Text independent Car"/>
    <w:basedOn w:val="Lletraperdefectedelpargraf"/>
    <w:link w:val="Textindependent"/>
    <w:uiPriority w:val="99"/>
    <w:semiHidden/>
    <w:rsid w:val="0003148D"/>
  </w:style>
  <w:style w:type="paragraph" w:styleId="Data">
    <w:name w:val="Date"/>
    <w:basedOn w:val="Normal"/>
    <w:next w:val="Normal"/>
    <w:link w:val="DataCar"/>
    <w:uiPriority w:val="99"/>
    <w:semiHidden/>
    <w:unhideWhenUsed/>
    <w:rsid w:val="0003148D"/>
  </w:style>
  <w:style w:type="character" w:customStyle="1" w:styleId="DataCar">
    <w:name w:val="Data Car"/>
    <w:basedOn w:val="Lletraperdefectedelpargraf"/>
    <w:link w:val="Data"/>
    <w:uiPriority w:val="99"/>
    <w:semiHidden/>
    <w:rsid w:val="0003148D"/>
  </w:style>
  <w:style w:type="paragraph" w:styleId="Llegenda">
    <w:name w:val="caption"/>
    <w:basedOn w:val="Normal"/>
    <w:next w:val="Normal"/>
    <w:uiPriority w:val="35"/>
    <w:semiHidden/>
    <w:unhideWhenUsed/>
    <w:qFormat/>
    <w:rsid w:val="0003148D"/>
    <w:pPr>
      <w:spacing w:line="240" w:lineRule="auto"/>
    </w:pPr>
    <w:rPr>
      <w:b/>
      <w:bCs/>
      <w:color w:val="4F81BD" w:themeColor="accent1"/>
      <w:szCs w:val="18"/>
    </w:rPr>
  </w:style>
  <w:style w:type="paragraph" w:styleId="Llista">
    <w:name w:val="List"/>
    <w:basedOn w:val="Normal"/>
    <w:uiPriority w:val="99"/>
    <w:semiHidden/>
    <w:unhideWhenUsed/>
    <w:rsid w:val="0003148D"/>
    <w:pPr>
      <w:ind w:left="283" w:hanging="283"/>
      <w:contextualSpacing/>
    </w:pPr>
  </w:style>
  <w:style w:type="paragraph" w:styleId="Llista2">
    <w:name w:val="List 2"/>
    <w:basedOn w:val="Normal"/>
    <w:uiPriority w:val="99"/>
    <w:semiHidden/>
    <w:unhideWhenUsed/>
    <w:rsid w:val="0003148D"/>
    <w:pPr>
      <w:ind w:left="566" w:hanging="283"/>
      <w:contextualSpacing/>
    </w:pPr>
  </w:style>
  <w:style w:type="paragraph" w:styleId="Llista3">
    <w:name w:val="List 3"/>
    <w:basedOn w:val="Normal"/>
    <w:uiPriority w:val="99"/>
    <w:semiHidden/>
    <w:unhideWhenUsed/>
    <w:rsid w:val="0003148D"/>
    <w:pPr>
      <w:ind w:left="849" w:hanging="283"/>
      <w:contextualSpacing/>
    </w:pPr>
  </w:style>
  <w:style w:type="paragraph" w:styleId="Llista4">
    <w:name w:val="List 4"/>
    <w:basedOn w:val="Normal"/>
    <w:uiPriority w:val="99"/>
    <w:semiHidden/>
    <w:unhideWhenUsed/>
    <w:rsid w:val="0003148D"/>
    <w:pPr>
      <w:ind w:left="1132" w:hanging="283"/>
      <w:contextualSpacing/>
    </w:pPr>
  </w:style>
  <w:style w:type="paragraph" w:styleId="Llista5">
    <w:name w:val="List 5"/>
    <w:basedOn w:val="Normal"/>
    <w:uiPriority w:val="99"/>
    <w:semiHidden/>
    <w:unhideWhenUsed/>
    <w:rsid w:val="0003148D"/>
    <w:pPr>
      <w:ind w:left="1415" w:hanging="283"/>
      <w:contextualSpacing/>
    </w:pPr>
  </w:style>
  <w:style w:type="paragraph" w:styleId="Continuacidellista">
    <w:name w:val="List Continue"/>
    <w:basedOn w:val="Normal"/>
    <w:uiPriority w:val="99"/>
    <w:semiHidden/>
    <w:unhideWhenUsed/>
    <w:rsid w:val="0003148D"/>
    <w:pPr>
      <w:spacing w:after="120"/>
      <w:ind w:left="283"/>
      <w:contextualSpacing/>
    </w:pPr>
  </w:style>
  <w:style w:type="paragraph" w:styleId="Continuacidellista2">
    <w:name w:val="List Continue 2"/>
    <w:basedOn w:val="Normal"/>
    <w:uiPriority w:val="99"/>
    <w:semiHidden/>
    <w:unhideWhenUsed/>
    <w:rsid w:val="0003148D"/>
    <w:pPr>
      <w:spacing w:after="120"/>
      <w:ind w:left="566"/>
      <w:contextualSpacing/>
    </w:pPr>
  </w:style>
  <w:style w:type="paragraph" w:styleId="Continuacidellista3">
    <w:name w:val="List Continue 3"/>
    <w:basedOn w:val="Normal"/>
    <w:uiPriority w:val="99"/>
    <w:semiHidden/>
    <w:unhideWhenUsed/>
    <w:rsid w:val="0003148D"/>
    <w:pPr>
      <w:spacing w:after="120"/>
      <w:ind w:left="849"/>
      <w:contextualSpacing/>
    </w:pPr>
  </w:style>
  <w:style w:type="paragraph" w:styleId="Continuacidellista4">
    <w:name w:val="List Continue 4"/>
    <w:basedOn w:val="Normal"/>
    <w:uiPriority w:val="99"/>
    <w:semiHidden/>
    <w:unhideWhenUsed/>
    <w:rsid w:val="0003148D"/>
    <w:pPr>
      <w:spacing w:after="120"/>
      <w:ind w:left="1132"/>
      <w:contextualSpacing/>
    </w:pPr>
  </w:style>
  <w:style w:type="paragraph" w:styleId="Continuacidellista5">
    <w:name w:val="List Continue 5"/>
    <w:basedOn w:val="Normal"/>
    <w:uiPriority w:val="99"/>
    <w:semiHidden/>
    <w:unhideWhenUsed/>
    <w:rsid w:val="0003148D"/>
    <w:pPr>
      <w:spacing w:after="120"/>
      <w:ind w:left="1415"/>
      <w:contextualSpacing/>
    </w:pPr>
  </w:style>
  <w:style w:type="paragraph" w:styleId="Signatura">
    <w:name w:val="Signature"/>
    <w:basedOn w:val="Normal"/>
    <w:link w:val="SignaturaCar"/>
    <w:uiPriority w:val="99"/>
    <w:semiHidden/>
    <w:unhideWhenUsed/>
    <w:rsid w:val="0003148D"/>
    <w:pPr>
      <w:spacing w:line="240" w:lineRule="auto"/>
      <w:ind w:left="4252"/>
    </w:pPr>
  </w:style>
  <w:style w:type="character" w:customStyle="1" w:styleId="SignaturaCar">
    <w:name w:val="Signatura Car"/>
    <w:basedOn w:val="Lletraperdefectedelpargraf"/>
    <w:link w:val="Signatura"/>
    <w:uiPriority w:val="99"/>
    <w:semiHidden/>
    <w:rsid w:val="0003148D"/>
  </w:style>
  <w:style w:type="paragraph" w:styleId="Signaturadecorreuelectrnic">
    <w:name w:val="E-mail Signature"/>
    <w:basedOn w:val="Normal"/>
    <w:link w:val="SignaturadecorreuelectrnicCar"/>
    <w:uiPriority w:val="99"/>
    <w:semiHidden/>
    <w:unhideWhenUsed/>
    <w:rsid w:val="0003148D"/>
    <w:pPr>
      <w:spacing w:line="240" w:lineRule="auto"/>
    </w:pPr>
  </w:style>
  <w:style w:type="character" w:customStyle="1" w:styleId="SignaturadecorreuelectrnicCar">
    <w:name w:val="Signatura de correu electrònic Car"/>
    <w:basedOn w:val="Lletraperdefectedelpargraf"/>
    <w:link w:val="Signaturadecorreuelectrnic"/>
    <w:uiPriority w:val="99"/>
    <w:semiHidden/>
    <w:rsid w:val="0003148D"/>
  </w:style>
  <w:style w:type="paragraph" w:styleId="Salutaci">
    <w:name w:val="Salutation"/>
    <w:basedOn w:val="Normal"/>
    <w:next w:val="Normal"/>
    <w:link w:val="SalutaciCar"/>
    <w:uiPriority w:val="99"/>
    <w:semiHidden/>
    <w:unhideWhenUsed/>
    <w:rsid w:val="0003148D"/>
  </w:style>
  <w:style w:type="character" w:customStyle="1" w:styleId="SalutaciCar">
    <w:name w:val="Salutació Car"/>
    <w:basedOn w:val="Lletraperdefectedelpargraf"/>
    <w:link w:val="Salutaci"/>
    <w:uiPriority w:val="99"/>
    <w:semiHidden/>
    <w:rsid w:val="0003148D"/>
  </w:style>
  <w:style w:type="paragraph" w:styleId="Comiat">
    <w:name w:val="Closing"/>
    <w:basedOn w:val="Normal"/>
    <w:link w:val="ComiatCar"/>
    <w:uiPriority w:val="99"/>
    <w:semiHidden/>
    <w:unhideWhenUsed/>
    <w:rsid w:val="0003148D"/>
    <w:pPr>
      <w:spacing w:line="240" w:lineRule="auto"/>
      <w:ind w:left="4252"/>
    </w:pPr>
  </w:style>
  <w:style w:type="character" w:customStyle="1" w:styleId="ComiatCar">
    <w:name w:val="Comiat Car"/>
    <w:basedOn w:val="Lletraperdefectedelpargraf"/>
    <w:link w:val="Comiat"/>
    <w:uiPriority w:val="99"/>
    <w:semiHidden/>
    <w:rsid w:val="0003148D"/>
  </w:style>
  <w:style w:type="paragraph" w:styleId="ndex1">
    <w:name w:val="index 1"/>
    <w:basedOn w:val="Normal"/>
    <w:next w:val="Normal"/>
    <w:autoRedefine/>
    <w:uiPriority w:val="99"/>
    <w:semiHidden/>
    <w:unhideWhenUsed/>
    <w:rsid w:val="0003148D"/>
    <w:pPr>
      <w:spacing w:line="240" w:lineRule="auto"/>
      <w:ind w:left="220" w:hanging="220"/>
    </w:pPr>
  </w:style>
  <w:style w:type="paragraph" w:styleId="ndex2">
    <w:name w:val="index 2"/>
    <w:basedOn w:val="Normal"/>
    <w:next w:val="Normal"/>
    <w:autoRedefine/>
    <w:uiPriority w:val="99"/>
    <w:semiHidden/>
    <w:unhideWhenUsed/>
    <w:rsid w:val="0003148D"/>
    <w:pPr>
      <w:spacing w:line="240" w:lineRule="auto"/>
      <w:ind w:left="440" w:hanging="220"/>
    </w:pPr>
  </w:style>
  <w:style w:type="paragraph" w:styleId="ndex3">
    <w:name w:val="index 3"/>
    <w:basedOn w:val="Normal"/>
    <w:next w:val="Normal"/>
    <w:autoRedefine/>
    <w:uiPriority w:val="99"/>
    <w:semiHidden/>
    <w:unhideWhenUsed/>
    <w:rsid w:val="0003148D"/>
    <w:pPr>
      <w:spacing w:line="240" w:lineRule="auto"/>
      <w:ind w:left="660" w:hanging="220"/>
    </w:pPr>
  </w:style>
  <w:style w:type="paragraph" w:styleId="ndex4">
    <w:name w:val="index 4"/>
    <w:basedOn w:val="Normal"/>
    <w:next w:val="Normal"/>
    <w:autoRedefine/>
    <w:uiPriority w:val="99"/>
    <w:semiHidden/>
    <w:unhideWhenUsed/>
    <w:rsid w:val="0003148D"/>
    <w:pPr>
      <w:spacing w:line="240" w:lineRule="auto"/>
      <w:ind w:left="880" w:hanging="220"/>
    </w:pPr>
  </w:style>
  <w:style w:type="paragraph" w:styleId="ndex5">
    <w:name w:val="index 5"/>
    <w:basedOn w:val="Normal"/>
    <w:next w:val="Normal"/>
    <w:autoRedefine/>
    <w:uiPriority w:val="99"/>
    <w:semiHidden/>
    <w:unhideWhenUsed/>
    <w:rsid w:val="0003148D"/>
    <w:pPr>
      <w:spacing w:line="240" w:lineRule="auto"/>
      <w:ind w:left="1100" w:hanging="220"/>
    </w:pPr>
  </w:style>
  <w:style w:type="paragraph" w:styleId="ndex6">
    <w:name w:val="index 6"/>
    <w:basedOn w:val="Normal"/>
    <w:next w:val="Normal"/>
    <w:autoRedefine/>
    <w:uiPriority w:val="99"/>
    <w:semiHidden/>
    <w:unhideWhenUsed/>
    <w:rsid w:val="0003148D"/>
    <w:pPr>
      <w:spacing w:line="240" w:lineRule="auto"/>
      <w:ind w:left="1320" w:hanging="220"/>
    </w:pPr>
  </w:style>
  <w:style w:type="paragraph" w:styleId="ndex7">
    <w:name w:val="index 7"/>
    <w:basedOn w:val="Normal"/>
    <w:next w:val="Normal"/>
    <w:autoRedefine/>
    <w:uiPriority w:val="99"/>
    <w:semiHidden/>
    <w:unhideWhenUsed/>
    <w:rsid w:val="0003148D"/>
    <w:pPr>
      <w:spacing w:line="240" w:lineRule="auto"/>
      <w:ind w:left="1540" w:hanging="220"/>
    </w:pPr>
  </w:style>
  <w:style w:type="paragraph" w:styleId="ndex8">
    <w:name w:val="index 8"/>
    <w:basedOn w:val="Normal"/>
    <w:next w:val="Normal"/>
    <w:autoRedefine/>
    <w:uiPriority w:val="99"/>
    <w:semiHidden/>
    <w:unhideWhenUsed/>
    <w:rsid w:val="0003148D"/>
    <w:pPr>
      <w:spacing w:line="240" w:lineRule="auto"/>
      <w:ind w:left="1760" w:hanging="220"/>
    </w:pPr>
  </w:style>
  <w:style w:type="paragraph" w:styleId="ndex9">
    <w:name w:val="index 9"/>
    <w:basedOn w:val="Normal"/>
    <w:next w:val="Normal"/>
    <w:autoRedefine/>
    <w:uiPriority w:val="99"/>
    <w:semiHidden/>
    <w:unhideWhenUsed/>
    <w:rsid w:val="0003148D"/>
    <w:pPr>
      <w:spacing w:line="240" w:lineRule="auto"/>
      <w:ind w:left="1980" w:hanging="220"/>
    </w:pPr>
  </w:style>
  <w:style w:type="paragraph" w:styleId="ndexdillustracions">
    <w:name w:val="table of figures"/>
    <w:basedOn w:val="Normal"/>
    <w:next w:val="Normal"/>
    <w:uiPriority w:val="99"/>
    <w:semiHidden/>
    <w:unhideWhenUsed/>
    <w:rsid w:val="0003148D"/>
  </w:style>
  <w:style w:type="paragraph" w:styleId="ndexdautoritats">
    <w:name w:val="table of authorities"/>
    <w:basedOn w:val="Normal"/>
    <w:next w:val="Normal"/>
    <w:uiPriority w:val="99"/>
    <w:semiHidden/>
    <w:unhideWhenUsed/>
    <w:rsid w:val="0003148D"/>
    <w:pPr>
      <w:ind w:left="220" w:hanging="220"/>
    </w:pPr>
  </w:style>
  <w:style w:type="paragraph" w:styleId="Adreadelsobre">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dreaHTML">
    <w:name w:val="HTML Address"/>
    <w:basedOn w:val="Normal"/>
    <w:link w:val="AdreaHTMLCar"/>
    <w:uiPriority w:val="99"/>
    <w:semiHidden/>
    <w:unhideWhenUsed/>
    <w:rsid w:val="0003148D"/>
    <w:pPr>
      <w:spacing w:line="240" w:lineRule="auto"/>
    </w:pPr>
    <w:rPr>
      <w:i/>
      <w:iCs/>
    </w:rPr>
  </w:style>
  <w:style w:type="character" w:customStyle="1" w:styleId="AdreaHTMLCar">
    <w:name w:val="Adreça HTML Car"/>
    <w:basedOn w:val="Lletraperdefectedelpargraf"/>
    <w:link w:val="AdreaHTML"/>
    <w:uiPriority w:val="99"/>
    <w:semiHidden/>
    <w:rsid w:val="0003148D"/>
    <w:rPr>
      <w:i/>
      <w:iCs/>
    </w:rPr>
  </w:style>
  <w:style w:type="paragraph" w:styleId="Remitentdelsobre">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Capalerademissatge">
    <w:name w:val="Message Header"/>
    <w:basedOn w:val="Normal"/>
    <w:link w:val="CapalerademissatgeC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CapalerademissatgeCar">
    <w:name w:val="Capçalera de missatge Car"/>
    <w:basedOn w:val="Lletraperdefectedelpargraf"/>
    <w:link w:val="Capalerademissatge"/>
    <w:uiPriority w:val="99"/>
    <w:semiHidden/>
    <w:rsid w:val="0003148D"/>
    <w:rPr>
      <w:rFonts w:asciiTheme="majorHAnsi" w:eastAsiaTheme="majorEastAsia" w:hAnsiTheme="majorHAnsi" w:cstheme="majorBidi"/>
      <w:sz w:val="24"/>
      <w:szCs w:val="24"/>
      <w:shd w:val="pct20" w:color="auto" w:fill="auto"/>
    </w:rPr>
  </w:style>
  <w:style w:type="paragraph" w:styleId="Ttoldenota">
    <w:name w:val="Note Heading"/>
    <w:basedOn w:val="Normal"/>
    <w:next w:val="Normal"/>
    <w:link w:val="TtoldenotaCar"/>
    <w:uiPriority w:val="99"/>
    <w:semiHidden/>
    <w:unhideWhenUsed/>
    <w:rsid w:val="0003148D"/>
    <w:pPr>
      <w:spacing w:line="240" w:lineRule="auto"/>
    </w:pPr>
  </w:style>
  <w:style w:type="character" w:customStyle="1" w:styleId="TtoldenotaCar">
    <w:name w:val="Títol de nota Car"/>
    <w:basedOn w:val="Lletraperdefectedelpargraf"/>
    <w:link w:val="Ttoldenota"/>
    <w:uiPriority w:val="99"/>
    <w:semiHidden/>
    <w:rsid w:val="0003148D"/>
  </w:style>
  <w:style w:type="paragraph" w:styleId="Mapadeldocument">
    <w:name w:val="Document Map"/>
    <w:basedOn w:val="Normal"/>
    <w:link w:val="MapadeldocumentCar"/>
    <w:uiPriority w:val="99"/>
    <w:semiHidden/>
    <w:unhideWhenUsed/>
    <w:rsid w:val="0003148D"/>
    <w:pPr>
      <w:spacing w:line="240" w:lineRule="auto"/>
    </w:pPr>
    <w:rPr>
      <w:rFonts w:ascii="Tahoma" w:hAnsi="Tahoma" w:cs="Tahoma"/>
      <w:sz w:val="16"/>
      <w:szCs w:val="16"/>
    </w:rPr>
  </w:style>
  <w:style w:type="character" w:customStyle="1" w:styleId="MapadeldocumentCar">
    <w:name w:val="Mapa del document Car"/>
    <w:basedOn w:val="Lletraperdefectedelpargraf"/>
    <w:link w:val="Mapadeldocument"/>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listanumerada">
    <w:name w:val="List Number"/>
    <w:basedOn w:val="Normal"/>
    <w:uiPriority w:val="99"/>
    <w:semiHidden/>
    <w:unhideWhenUsed/>
    <w:rsid w:val="0003148D"/>
    <w:pPr>
      <w:numPr>
        <w:numId w:val="2"/>
      </w:numPr>
      <w:contextualSpacing/>
    </w:pPr>
  </w:style>
  <w:style w:type="paragraph" w:styleId="Llistanumerada2">
    <w:name w:val="List Number 2"/>
    <w:basedOn w:val="Normal"/>
    <w:uiPriority w:val="99"/>
    <w:semiHidden/>
    <w:unhideWhenUsed/>
    <w:rsid w:val="0003148D"/>
    <w:pPr>
      <w:numPr>
        <w:numId w:val="3"/>
      </w:numPr>
      <w:contextualSpacing/>
    </w:pPr>
  </w:style>
  <w:style w:type="paragraph" w:styleId="Llistanumerada3">
    <w:name w:val="List Number 3"/>
    <w:basedOn w:val="Normal"/>
    <w:uiPriority w:val="99"/>
    <w:semiHidden/>
    <w:unhideWhenUsed/>
    <w:rsid w:val="0003148D"/>
    <w:pPr>
      <w:numPr>
        <w:numId w:val="4"/>
      </w:numPr>
      <w:contextualSpacing/>
    </w:pPr>
  </w:style>
  <w:style w:type="paragraph" w:styleId="Llistanumerada4">
    <w:name w:val="List Number 4"/>
    <w:basedOn w:val="Normal"/>
    <w:uiPriority w:val="99"/>
    <w:semiHidden/>
    <w:unhideWhenUsed/>
    <w:rsid w:val="0003148D"/>
    <w:pPr>
      <w:numPr>
        <w:numId w:val="5"/>
      </w:numPr>
      <w:contextualSpacing/>
    </w:pPr>
  </w:style>
  <w:style w:type="paragraph" w:styleId="Llistanumerada5">
    <w:name w:val="List Number 5"/>
    <w:basedOn w:val="Normal"/>
    <w:uiPriority w:val="99"/>
    <w:semiHidden/>
    <w:unhideWhenUsed/>
    <w:rsid w:val="0003148D"/>
    <w:pPr>
      <w:numPr>
        <w:numId w:val="6"/>
      </w:numPr>
      <w:contextualSpacing/>
    </w:pPr>
  </w:style>
  <w:style w:type="paragraph" w:styleId="HTMLambformatprevi">
    <w:name w:val="HTML Preformatted"/>
    <w:basedOn w:val="Normal"/>
    <w:link w:val="HTMLambformatpreviCar"/>
    <w:uiPriority w:val="99"/>
    <w:semiHidden/>
    <w:unhideWhenUsed/>
    <w:rsid w:val="0003148D"/>
    <w:pPr>
      <w:spacing w:line="240" w:lineRule="auto"/>
    </w:pPr>
    <w:rPr>
      <w:rFonts w:ascii="Consolas" w:hAnsi="Consolas" w:cs="Consolas"/>
    </w:rPr>
  </w:style>
  <w:style w:type="character" w:customStyle="1" w:styleId="HTMLambformatpreviCar">
    <w:name w:val="HTML amb format previ Car"/>
    <w:basedOn w:val="Lletraperdefectedelpargraf"/>
    <w:link w:val="HTMLambformatprevi"/>
    <w:uiPriority w:val="99"/>
    <w:semiHidden/>
    <w:rsid w:val="0003148D"/>
    <w:rPr>
      <w:rFonts w:ascii="Consolas" w:hAnsi="Consolas" w:cs="Consolas"/>
      <w:sz w:val="20"/>
      <w:szCs w:val="20"/>
    </w:rPr>
  </w:style>
  <w:style w:type="paragraph" w:styleId="Primerasagniadetextindependent">
    <w:name w:val="Body Text First Indent"/>
    <w:basedOn w:val="Textindependent"/>
    <w:link w:val="PrimerasagniadetextindependentCar"/>
    <w:uiPriority w:val="99"/>
    <w:semiHidden/>
    <w:unhideWhenUsed/>
    <w:rsid w:val="0003148D"/>
    <w:pPr>
      <w:spacing w:after="200"/>
      <w:ind w:firstLine="360"/>
    </w:pPr>
  </w:style>
  <w:style w:type="character" w:customStyle="1" w:styleId="PrimerasagniadetextindependentCar">
    <w:name w:val="Primera sagnia de text independent Car"/>
    <w:basedOn w:val="TextindependentCar"/>
    <w:link w:val="Primerasagniadetextindependent"/>
    <w:uiPriority w:val="99"/>
    <w:semiHidden/>
    <w:rsid w:val="0003148D"/>
  </w:style>
  <w:style w:type="paragraph" w:styleId="Sagniadetextindependent">
    <w:name w:val="Body Text Indent"/>
    <w:basedOn w:val="Normal"/>
    <w:link w:val="SagniadetextindependentCar"/>
    <w:uiPriority w:val="99"/>
    <w:semiHidden/>
    <w:unhideWhenUsed/>
    <w:rsid w:val="0003148D"/>
    <w:pPr>
      <w:spacing w:after="120"/>
      <w:ind w:left="283"/>
    </w:pPr>
  </w:style>
  <w:style w:type="character" w:customStyle="1" w:styleId="SagniadetextindependentCar">
    <w:name w:val="Sagnia de text independent Car"/>
    <w:basedOn w:val="Lletraperdefectedelpargraf"/>
    <w:link w:val="Sagniadetextindependent"/>
    <w:uiPriority w:val="99"/>
    <w:semiHidden/>
    <w:rsid w:val="0003148D"/>
  </w:style>
  <w:style w:type="paragraph" w:styleId="Primerasagniadetextindependent2">
    <w:name w:val="Body Text First Indent 2"/>
    <w:basedOn w:val="Sagniadetextindependent"/>
    <w:link w:val="Primerasagniadetextindependent2Car"/>
    <w:uiPriority w:val="99"/>
    <w:semiHidden/>
    <w:unhideWhenUsed/>
    <w:rsid w:val="0003148D"/>
    <w:pPr>
      <w:spacing w:after="200"/>
      <w:ind w:left="360" w:firstLine="360"/>
    </w:pPr>
  </w:style>
  <w:style w:type="character" w:customStyle="1" w:styleId="Primerasagniadetextindependent2Car">
    <w:name w:val="Primera sagnia de text independent 2 Car"/>
    <w:basedOn w:val="SagniadetextindependentCar"/>
    <w:link w:val="Primerasagniadetextindependent2"/>
    <w:uiPriority w:val="99"/>
    <w:semiHidden/>
    <w:rsid w:val="0003148D"/>
  </w:style>
  <w:style w:type="paragraph" w:styleId="Llistaambpics">
    <w:name w:val="List Bullet"/>
    <w:basedOn w:val="Normal"/>
    <w:uiPriority w:val="99"/>
    <w:semiHidden/>
    <w:unhideWhenUsed/>
    <w:rsid w:val="0003148D"/>
    <w:pPr>
      <w:numPr>
        <w:numId w:val="7"/>
      </w:numPr>
      <w:contextualSpacing/>
    </w:pPr>
  </w:style>
  <w:style w:type="paragraph" w:styleId="Llistaambpics2">
    <w:name w:val="List Bullet 2"/>
    <w:basedOn w:val="Normal"/>
    <w:uiPriority w:val="99"/>
    <w:semiHidden/>
    <w:unhideWhenUsed/>
    <w:rsid w:val="0003148D"/>
    <w:pPr>
      <w:numPr>
        <w:numId w:val="8"/>
      </w:numPr>
      <w:contextualSpacing/>
    </w:pPr>
  </w:style>
  <w:style w:type="paragraph" w:styleId="Llistaambpics3">
    <w:name w:val="List Bullet 3"/>
    <w:basedOn w:val="Normal"/>
    <w:uiPriority w:val="99"/>
    <w:semiHidden/>
    <w:unhideWhenUsed/>
    <w:rsid w:val="0003148D"/>
    <w:pPr>
      <w:numPr>
        <w:numId w:val="9"/>
      </w:numPr>
      <w:contextualSpacing/>
    </w:pPr>
  </w:style>
  <w:style w:type="paragraph" w:styleId="Llistaambpics4">
    <w:name w:val="List Bullet 4"/>
    <w:basedOn w:val="Normal"/>
    <w:uiPriority w:val="99"/>
    <w:semiHidden/>
    <w:unhideWhenUsed/>
    <w:rsid w:val="0003148D"/>
    <w:pPr>
      <w:numPr>
        <w:numId w:val="10"/>
      </w:numPr>
      <w:contextualSpacing/>
    </w:pPr>
  </w:style>
  <w:style w:type="paragraph" w:styleId="Llistaambpics5">
    <w:name w:val="List Bullet 5"/>
    <w:basedOn w:val="Normal"/>
    <w:uiPriority w:val="99"/>
    <w:semiHidden/>
    <w:unhideWhenUsed/>
    <w:rsid w:val="0003148D"/>
    <w:pPr>
      <w:numPr>
        <w:numId w:val="11"/>
      </w:numPr>
      <w:contextualSpacing/>
    </w:pPr>
  </w:style>
  <w:style w:type="paragraph" w:styleId="Sagniadetextindependent2">
    <w:name w:val="Body Text Indent 2"/>
    <w:basedOn w:val="Normal"/>
    <w:link w:val="Sagniadetextindependent2Car"/>
    <w:uiPriority w:val="99"/>
    <w:semiHidden/>
    <w:unhideWhenUsed/>
    <w:rsid w:val="0003148D"/>
    <w:pPr>
      <w:spacing w:after="120" w:line="480" w:lineRule="auto"/>
      <w:ind w:left="283"/>
    </w:pPr>
  </w:style>
  <w:style w:type="character" w:customStyle="1" w:styleId="Sagniadetextindependent2Car">
    <w:name w:val="Sagnia de text independent 2 Car"/>
    <w:basedOn w:val="Lletraperdefectedelpargraf"/>
    <w:link w:val="Sagniadetextindependent2"/>
    <w:uiPriority w:val="99"/>
    <w:semiHidden/>
    <w:rsid w:val="0003148D"/>
  </w:style>
  <w:style w:type="paragraph" w:styleId="Sagniadetextindependent3">
    <w:name w:val="Body Text Indent 3"/>
    <w:basedOn w:val="Normal"/>
    <w:link w:val="Sagniadetextindependent3Car"/>
    <w:uiPriority w:val="99"/>
    <w:semiHidden/>
    <w:unhideWhenUsed/>
    <w:rsid w:val="0003148D"/>
    <w:pPr>
      <w:spacing w:after="120"/>
      <w:ind w:left="283"/>
    </w:pPr>
    <w:rPr>
      <w:sz w:val="16"/>
      <w:szCs w:val="16"/>
    </w:rPr>
  </w:style>
  <w:style w:type="character" w:customStyle="1" w:styleId="Sagniadetextindependent3Car">
    <w:name w:val="Sagnia de text independent 3 Car"/>
    <w:basedOn w:val="Lletraperdefectedelpargraf"/>
    <w:link w:val="Sagniadetextindependent3"/>
    <w:uiPriority w:val="99"/>
    <w:semiHidden/>
    <w:rsid w:val="0003148D"/>
    <w:rPr>
      <w:sz w:val="16"/>
      <w:szCs w:val="16"/>
    </w:rPr>
  </w:style>
  <w:style w:type="paragraph" w:styleId="Sagnianormal">
    <w:name w:val="Normal Indent"/>
    <w:basedOn w:val="Normal"/>
    <w:uiPriority w:val="99"/>
    <w:semiHidden/>
    <w:unhideWhenUsed/>
    <w:rsid w:val="0003148D"/>
    <w:pPr>
      <w:ind w:left="720"/>
    </w:pPr>
  </w:style>
  <w:style w:type="paragraph" w:styleId="Textdecomentari">
    <w:name w:val="annotation text"/>
    <w:basedOn w:val="Normal"/>
    <w:link w:val="TextdecomentariCar"/>
    <w:uiPriority w:val="99"/>
    <w:unhideWhenUsed/>
    <w:rsid w:val="0003148D"/>
    <w:pPr>
      <w:spacing w:line="240" w:lineRule="auto"/>
    </w:pPr>
  </w:style>
  <w:style w:type="character" w:customStyle="1" w:styleId="TextdecomentariCar">
    <w:name w:val="Text de comentari Car"/>
    <w:basedOn w:val="Lletraperdefectedelpargraf"/>
    <w:link w:val="Textdecomentari"/>
    <w:uiPriority w:val="99"/>
    <w:rsid w:val="0003148D"/>
    <w:rPr>
      <w:sz w:val="20"/>
      <w:szCs w:val="20"/>
    </w:rPr>
  </w:style>
  <w:style w:type="paragraph" w:styleId="Temadelcomentari">
    <w:name w:val="annotation subject"/>
    <w:basedOn w:val="Textdecomentari"/>
    <w:next w:val="Textdecomentari"/>
    <w:link w:val="TemadelcomentariCar"/>
    <w:uiPriority w:val="99"/>
    <w:semiHidden/>
    <w:unhideWhenUsed/>
    <w:rsid w:val="0003148D"/>
    <w:rPr>
      <w:b/>
      <w:bCs/>
    </w:rPr>
  </w:style>
  <w:style w:type="character" w:customStyle="1" w:styleId="TemadelcomentariCar">
    <w:name w:val="Tema del comentari Car"/>
    <w:basedOn w:val="TextdecomentariCar"/>
    <w:link w:val="Temadelcomentari"/>
    <w:uiPriority w:val="99"/>
    <w:semiHidden/>
    <w:rsid w:val="0003148D"/>
    <w:rPr>
      <w:b/>
      <w:bCs/>
      <w:sz w:val="20"/>
      <w:szCs w:val="20"/>
    </w:rPr>
  </w:style>
  <w:style w:type="paragraph" w:styleId="IDC1">
    <w:name w:val="toc 1"/>
    <w:basedOn w:val="Normal"/>
    <w:next w:val="Normal"/>
    <w:autoRedefine/>
    <w:uiPriority w:val="39"/>
    <w:semiHidden/>
    <w:unhideWhenUsed/>
    <w:rsid w:val="0003148D"/>
    <w:pPr>
      <w:spacing w:after="100"/>
    </w:pPr>
  </w:style>
  <w:style w:type="paragraph" w:styleId="IDC2">
    <w:name w:val="toc 2"/>
    <w:basedOn w:val="Normal"/>
    <w:next w:val="Normal"/>
    <w:autoRedefine/>
    <w:uiPriority w:val="39"/>
    <w:semiHidden/>
    <w:unhideWhenUsed/>
    <w:rsid w:val="0003148D"/>
    <w:pPr>
      <w:spacing w:after="100"/>
      <w:ind w:left="220"/>
    </w:pPr>
  </w:style>
  <w:style w:type="paragraph" w:styleId="IDC3">
    <w:name w:val="toc 3"/>
    <w:basedOn w:val="Normal"/>
    <w:next w:val="Normal"/>
    <w:autoRedefine/>
    <w:uiPriority w:val="39"/>
    <w:semiHidden/>
    <w:unhideWhenUsed/>
    <w:rsid w:val="0003148D"/>
    <w:pPr>
      <w:spacing w:after="100"/>
      <w:ind w:left="440"/>
    </w:pPr>
  </w:style>
  <w:style w:type="paragraph" w:styleId="IDC4">
    <w:name w:val="toc 4"/>
    <w:basedOn w:val="Normal"/>
    <w:next w:val="Normal"/>
    <w:autoRedefine/>
    <w:uiPriority w:val="39"/>
    <w:semiHidden/>
    <w:unhideWhenUsed/>
    <w:rsid w:val="0003148D"/>
    <w:pPr>
      <w:spacing w:after="100"/>
      <w:ind w:left="660"/>
    </w:pPr>
  </w:style>
  <w:style w:type="paragraph" w:styleId="IDC5">
    <w:name w:val="toc 5"/>
    <w:basedOn w:val="Normal"/>
    <w:next w:val="Normal"/>
    <w:autoRedefine/>
    <w:uiPriority w:val="39"/>
    <w:semiHidden/>
    <w:unhideWhenUsed/>
    <w:rsid w:val="0003148D"/>
    <w:pPr>
      <w:spacing w:after="100"/>
      <w:ind w:left="880"/>
    </w:pPr>
  </w:style>
  <w:style w:type="paragraph" w:styleId="IDC6">
    <w:name w:val="toc 6"/>
    <w:basedOn w:val="Normal"/>
    <w:next w:val="Normal"/>
    <w:autoRedefine/>
    <w:uiPriority w:val="39"/>
    <w:semiHidden/>
    <w:unhideWhenUsed/>
    <w:rsid w:val="0003148D"/>
    <w:pPr>
      <w:spacing w:after="100"/>
      <w:ind w:left="1100"/>
    </w:pPr>
  </w:style>
  <w:style w:type="paragraph" w:styleId="IDC7">
    <w:name w:val="toc 7"/>
    <w:basedOn w:val="Normal"/>
    <w:next w:val="Normal"/>
    <w:autoRedefine/>
    <w:uiPriority w:val="39"/>
    <w:semiHidden/>
    <w:unhideWhenUsed/>
    <w:rsid w:val="0003148D"/>
    <w:pPr>
      <w:spacing w:after="100"/>
      <w:ind w:left="1320"/>
    </w:pPr>
  </w:style>
  <w:style w:type="paragraph" w:styleId="IDC8">
    <w:name w:val="toc 8"/>
    <w:basedOn w:val="Normal"/>
    <w:next w:val="Normal"/>
    <w:autoRedefine/>
    <w:uiPriority w:val="39"/>
    <w:semiHidden/>
    <w:unhideWhenUsed/>
    <w:rsid w:val="0003148D"/>
    <w:pPr>
      <w:spacing w:after="100"/>
      <w:ind w:left="1540"/>
    </w:pPr>
  </w:style>
  <w:style w:type="paragraph" w:styleId="IDC9">
    <w:name w:val="toc 9"/>
    <w:basedOn w:val="Normal"/>
    <w:next w:val="Normal"/>
    <w:autoRedefine/>
    <w:uiPriority w:val="39"/>
    <w:semiHidden/>
    <w:unhideWhenUsed/>
    <w:rsid w:val="0003148D"/>
    <w:pPr>
      <w:spacing w:after="100"/>
      <w:ind w:left="1760"/>
    </w:pPr>
  </w:style>
  <w:style w:type="paragraph" w:styleId="Textdebloc">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demacro">
    <w:name w:val="macro"/>
    <w:link w:val="TextdemacroC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demacroCar">
    <w:name w:val="Text de macro Car"/>
    <w:basedOn w:val="Lletraperdefectedelpargraf"/>
    <w:link w:val="Textdemacro"/>
    <w:uiPriority w:val="99"/>
    <w:semiHidden/>
    <w:rsid w:val="0003148D"/>
    <w:rPr>
      <w:rFonts w:ascii="Consolas" w:hAnsi="Consolas" w:cs="Consolas"/>
      <w:sz w:val="20"/>
      <w:szCs w:val="20"/>
    </w:rPr>
  </w:style>
  <w:style w:type="paragraph" w:styleId="Textsenseformat">
    <w:name w:val="Plain Text"/>
    <w:basedOn w:val="Normal"/>
    <w:link w:val="TextsenseformatCar"/>
    <w:uiPriority w:val="99"/>
    <w:semiHidden/>
    <w:unhideWhenUsed/>
    <w:rsid w:val="0003148D"/>
    <w:pPr>
      <w:spacing w:line="240" w:lineRule="auto"/>
    </w:pPr>
    <w:rPr>
      <w:rFonts w:ascii="Consolas" w:hAnsi="Consolas" w:cs="Consolas"/>
      <w:sz w:val="21"/>
      <w:szCs w:val="21"/>
    </w:rPr>
  </w:style>
  <w:style w:type="character" w:customStyle="1" w:styleId="TextsenseformatCar">
    <w:name w:val="Text sense format Car"/>
    <w:basedOn w:val="Lletraperdefectedelpargraf"/>
    <w:link w:val="Textsenseformat"/>
    <w:uiPriority w:val="99"/>
    <w:semiHidden/>
    <w:rsid w:val="0003148D"/>
    <w:rPr>
      <w:rFonts w:ascii="Consolas" w:hAnsi="Consolas" w:cs="Consolas"/>
      <w:sz w:val="21"/>
      <w:szCs w:val="21"/>
    </w:rPr>
  </w:style>
  <w:style w:type="paragraph" w:styleId="Textdenotaapeudepgina">
    <w:name w:val="footnote text"/>
    <w:basedOn w:val="Normal"/>
    <w:link w:val="TextdenotaapeudepginaCar"/>
    <w:uiPriority w:val="99"/>
    <w:semiHidden/>
    <w:unhideWhenUsed/>
    <w:rsid w:val="0003148D"/>
    <w:pPr>
      <w:spacing w:line="240" w:lineRule="auto"/>
    </w:pPr>
  </w:style>
  <w:style w:type="character" w:customStyle="1" w:styleId="TextdenotaapeudepginaCar">
    <w:name w:val="Text de nota a peu de pàgina Car"/>
    <w:basedOn w:val="Lletraperdefectedelpargraf"/>
    <w:link w:val="Textdenotaapeudepgina"/>
    <w:uiPriority w:val="99"/>
    <w:semiHidden/>
    <w:rsid w:val="0003148D"/>
    <w:rPr>
      <w:sz w:val="20"/>
      <w:szCs w:val="20"/>
    </w:rPr>
  </w:style>
  <w:style w:type="paragraph" w:styleId="Textdenotaalfinal">
    <w:name w:val="endnote text"/>
    <w:basedOn w:val="Normal"/>
    <w:link w:val="TextdenotaalfinalCar"/>
    <w:uiPriority w:val="99"/>
    <w:semiHidden/>
    <w:unhideWhenUsed/>
    <w:rsid w:val="0003148D"/>
    <w:pPr>
      <w:spacing w:line="240" w:lineRule="auto"/>
    </w:pPr>
  </w:style>
  <w:style w:type="character" w:customStyle="1" w:styleId="TextdenotaalfinalCar">
    <w:name w:val="Text de nota al final Car"/>
    <w:basedOn w:val="Lletraperdefectedelpargraf"/>
    <w:link w:val="Textdenotaalfinal"/>
    <w:uiPriority w:val="99"/>
    <w:semiHidden/>
    <w:rsid w:val="0003148D"/>
    <w:rPr>
      <w:sz w:val="20"/>
      <w:szCs w:val="20"/>
    </w:rPr>
  </w:style>
  <w:style w:type="character" w:customStyle="1" w:styleId="Ttol1Car">
    <w:name w:val="Títol 1 Car"/>
    <w:basedOn w:val="Lletraperdefectedelpargraf"/>
    <w:link w:val="Ttol1"/>
    <w:uiPriority w:val="9"/>
    <w:rsid w:val="004F5E36"/>
    <w:rPr>
      <w:rFonts w:ascii="Arial" w:eastAsia="Times New Roman" w:hAnsi="Arial" w:cs="Times New Roman"/>
      <w:b/>
      <w:sz w:val="20"/>
      <w:szCs w:val="20"/>
      <w:lang w:val="en-GB"/>
    </w:rPr>
  </w:style>
  <w:style w:type="character" w:customStyle="1" w:styleId="Ttol2Car">
    <w:name w:val="Títol 2 Car"/>
    <w:basedOn w:val="Lletraperdefectedelpargraf"/>
    <w:link w:val="Ttol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tol3Car">
    <w:name w:val="Títol 3 Car"/>
    <w:basedOn w:val="Lletraperdefectedelpargraf"/>
    <w:link w:val="Ttol3"/>
    <w:uiPriority w:val="9"/>
    <w:semiHidden/>
    <w:rsid w:val="0003148D"/>
    <w:rPr>
      <w:rFonts w:asciiTheme="majorHAnsi" w:eastAsiaTheme="majorEastAsia" w:hAnsiTheme="majorHAnsi" w:cstheme="majorBidi"/>
      <w:b/>
      <w:bCs/>
      <w:color w:val="4F81BD" w:themeColor="accent1"/>
    </w:rPr>
  </w:style>
  <w:style w:type="character" w:customStyle="1" w:styleId="Ttol4Car">
    <w:name w:val="Títol 4 Car"/>
    <w:basedOn w:val="Lletraperdefectedelpargraf"/>
    <w:link w:val="Ttol4"/>
    <w:uiPriority w:val="9"/>
    <w:semiHidden/>
    <w:rsid w:val="0003148D"/>
    <w:rPr>
      <w:rFonts w:asciiTheme="majorHAnsi" w:eastAsiaTheme="majorEastAsia" w:hAnsiTheme="majorHAnsi" w:cstheme="majorBidi"/>
      <w:b/>
      <w:bCs/>
      <w:i/>
      <w:iCs/>
      <w:color w:val="4F81BD" w:themeColor="accent1"/>
    </w:rPr>
  </w:style>
  <w:style w:type="character" w:customStyle="1" w:styleId="Ttol5Car">
    <w:name w:val="Títol 5 Car"/>
    <w:basedOn w:val="Lletraperdefectedelpargraf"/>
    <w:link w:val="Ttol5"/>
    <w:uiPriority w:val="9"/>
    <w:semiHidden/>
    <w:rsid w:val="0003148D"/>
    <w:rPr>
      <w:rFonts w:asciiTheme="majorHAnsi" w:eastAsiaTheme="majorEastAsia" w:hAnsiTheme="majorHAnsi" w:cstheme="majorBidi"/>
      <w:color w:val="243F60" w:themeColor="accent1" w:themeShade="7F"/>
    </w:rPr>
  </w:style>
  <w:style w:type="character" w:customStyle="1" w:styleId="Ttol6Car">
    <w:name w:val="Títol 6 Car"/>
    <w:basedOn w:val="Lletraperdefectedelpargraf"/>
    <w:link w:val="Ttol6"/>
    <w:uiPriority w:val="9"/>
    <w:semiHidden/>
    <w:rsid w:val="0003148D"/>
    <w:rPr>
      <w:rFonts w:asciiTheme="majorHAnsi" w:eastAsiaTheme="majorEastAsia" w:hAnsiTheme="majorHAnsi" w:cstheme="majorBidi"/>
      <w:i/>
      <w:iCs/>
      <w:color w:val="243F60" w:themeColor="accent1" w:themeShade="7F"/>
    </w:rPr>
  </w:style>
  <w:style w:type="character" w:customStyle="1" w:styleId="Ttol7Car">
    <w:name w:val="Títol 7 Car"/>
    <w:basedOn w:val="Lletraperdefectedelpargraf"/>
    <w:link w:val="Ttol7"/>
    <w:uiPriority w:val="9"/>
    <w:semiHidden/>
    <w:rsid w:val="0003148D"/>
    <w:rPr>
      <w:rFonts w:asciiTheme="majorHAnsi" w:eastAsiaTheme="majorEastAsia" w:hAnsiTheme="majorHAnsi" w:cstheme="majorBidi"/>
      <w:i/>
      <w:iCs/>
      <w:color w:val="404040" w:themeColor="text1" w:themeTint="BF"/>
    </w:rPr>
  </w:style>
  <w:style w:type="character" w:customStyle="1" w:styleId="Ttol8Car">
    <w:name w:val="Títol 8 Car"/>
    <w:basedOn w:val="Lletraperdefectedelpargraf"/>
    <w:link w:val="Ttol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tol9Car">
    <w:name w:val="Títol 9 Car"/>
    <w:basedOn w:val="Lletraperdefectedelpargraf"/>
    <w:link w:val="Ttol9"/>
    <w:uiPriority w:val="9"/>
    <w:semiHidden/>
    <w:rsid w:val="0003148D"/>
    <w:rPr>
      <w:rFonts w:asciiTheme="majorHAnsi" w:eastAsiaTheme="majorEastAsia" w:hAnsiTheme="majorHAnsi" w:cstheme="majorBidi"/>
      <w:i/>
      <w:iCs/>
      <w:color w:val="404040" w:themeColor="text1" w:themeTint="BF"/>
      <w:sz w:val="20"/>
      <w:szCs w:val="20"/>
    </w:rPr>
  </w:style>
  <w:style w:type="paragraph" w:styleId="Ttoldndex">
    <w:name w:val="index heading"/>
    <w:basedOn w:val="Normal"/>
    <w:next w:val="ndex1"/>
    <w:uiPriority w:val="99"/>
    <w:semiHidden/>
    <w:unhideWhenUsed/>
    <w:rsid w:val="0003148D"/>
    <w:rPr>
      <w:rFonts w:asciiTheme="majorHAnsi" w:eastAsiaTheme="majorEastAsia" w:hAnsiTheme="majorHAnsi" w:cstheme="majorBidi"/>
      <w:b/>
      <w:bCs/>
    </w:rPr>
  </w:style>
  <w:style w:type="paragraph" w:styleId="TtoldIDA">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TtoldelIDC">
    <w:name w:val="TOC Heading"/>
    <w:basedOn w:val="Ttol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Lletraperdefectedelpargraf"/>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Capalera">
    <w:name w:val="header"/>
    <w:basedOn w:val="Normal"/>
    <w:link w:val="CapaleraCar"/>
    <w:uiPriority w:val="99"/>
    <w:unhideWhenUsed/>
    <w:rsid w:val="005278B7"/>
    <w:pPr>
      <w:tabs>
        <w:tab w:val="clear" w:pos="7100"/>
        <w:tab w:val="center" w:pos="4819"/>
        <w:tab w:val="right" w:pos="9638"/>
      </w:tabs>
      <w:spacing w:line="240" w:lineRule="auto"/>
    </w:pPr>
  </w:style>
  <w:style w:type="character" w:customStyle="1" w:styleId="CapaleraCar">
    <w:name w:val="Capçalera Car"/>
    <w:basedOn w:val="Lletraperdefectedelpargraf"/>
    <w:link w:val="Capalera"/>
    <w:uiPriority w:val="99"/>
    <w:rsid w:val="005278B7"/>
    <w:rPr>
      <w:rFonts w:ascii="Arial" w:eastAsia="Times New Roman" w:hAnsi="Arial" w:cs="Times New Roman"/>
      <w:sz w:val="18"/>
      <w:szCs w:val="20"/>
      <w:lang w:val="en-GB"/>
    </w:rPr>
  </w:style>
  <w:style w:type="paragraph" w:styleId="Peu">
    <w:name w:val="footer"/>
    <w:basedOn w:val="Normal"/>
    <w:link w:val="PeuCar"/>
    <w:uiPriority w:val="99"/>
    <w:unhideWhenUsed/>
    <w:rsid w:val="005278B7"/>
    <w:pPr>
      <w:tabs>
        <w:tab w:val="clear" w:pos="7100"/>
        <w:tab w:val="center" w:pos="4819"/>
        <w:tab w:val="right" w:pos="9638"/>
      </w:tabs>
      <w:spacing w:line="240" w:lineRule="auto"/>
    </w:pPr>
  </w:style>
  <w:style w:type="character" w:customStyle="1" w:styleId="PeuCar">
    <w:name w:val="Peu Car"/>
    <w:basedOn w:val="Lletraperdefectedelpargraf"/>
    <w:link w:val="Peu"/>
    <w:uiPriority w:val="99"/>
    <w:rsid w:val="005278B7"/>
    <w:rPr>
      <w:rFonts w:ascii="Arial" w:eastAsia="Times New Roman" w:hAnsi="Arial" w:cs="Times New Roman"/>
      <w:sz w:val="18"/>
      <w:szCs w:val="20"/>
      <w:lang w:val="en-GB"/>
    </w:rPr>
  </w:style>
  <w:style w:type="table" w:styleId="Taulaambquadrcula">
    <w:name w:val="Table Grid"/>
    <w:basedOn w:val="Taula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Lletraperdefectedelpargraf"/>
    <w:uiPriority w:val="99"/>
    <w:unhideWhenUsed/>
    <w:rsid w:val="00904C62"/>
    <w:rPr>
      <w:color w:val="0000FF" w:themeColor="hyperlink"/>
      <w:u w:val="single"/>
    </w:rPr>
  </w:style>
  <w:style w:type="character" w:customStyle="1" w:styleId="eudoraheader">
    <w:name w:val="eudoraheader"/>
    <w:basedOn w:val="Lletraperdefectedelpargraf"/>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grafdellista">
    <w:name w:val="List Paragraph"/>
    <w:basedOn w:val="Normal"/>
    <w:uiPriority w:val="34"/>
    <w:rsid w:val="00280FAF"/>
    <w:pPr>
      <w:ind w:left="720"/>
      <w:contextualSpacing/>
    </w:pPr>
  </w:style>
  <w:style w:type="character" w:customStyle="1" w:styleId="gmail-apple-converted-space">
    <w:name w:val="gmail-apple-converted-space"/>
    <w:basedOn w:val="Lletraperdefectedelpargraf"/>
    <w:rsid w:val="00005A19"/>
  </w:style>
  <w:style w:type="character" w:styleId="Mencisenseresoldre">
    <w:name w:val="Unresolved Mention"/>
    <w:basedOn w:val="Lletraperdefectedelpargraf"/>
    <w:uiPriority w:val="99"/>
    <w:semiHidden/>
    <w:unhideWhenUsed/>
    <w:rsid w:val="00FF2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va.gallego@upc.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36894-3124-4F58-9FFF-85F30831A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3222</Words>
  <Characters>18372</Characters>
  <Application>Microsoft Office Word</Application>
  <DocSecurity>0</DocSecurity>
  <Lines>153</Lines>
  <Paragraphs>43</Paragraphs>
  <ScaleCrop>false</ScaleCrop>
  <HeadingPairs>
    <vt:vector size="6" baseType="variant">
      <vt:variant>
        <vt:lpstr>Títol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Dipartimento CMIC - Politecnico di Milano</Company>
  <LinksUpToDate>false</LinksUpToDate>
  <CharactersWithSpaces>21551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Eva Gallego</cp:lastModifiedBy>
  <cp:revision>21</cp:revision>
  <cp:lastPrinted>2026-03-27T06:36:00Z</cp:lastPrinted>
  <dcterms:created xsi:type="dcterms:W3CDTF">2026-06-01T06:44:00Z</dcterms:created>
  <dcterms:modified xsi:type="dcterms:W3CDTF">2026-06-02T12:28:00Z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